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6E86" w14:textId="6B1A30A5" w:rsidR="00384DC2" w:rsidRPr="00F06F78" w:rsidRDefault="00384DC2" w:rsidP="00384DC2">
      <w:pPr>
        <w:pStyle w:val="Opisslike"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6276"/>
      </w:tblGrid>
      <w:tr w:rsidR="00384DC2" w:rsidRPr="00384DC2" w14:paraId="12B761BE" w14:textId="77777777" w:rsidTr="005D7F9E">
        <w:trPr>
          <w:trHeight w:val="719"/>
        </w:trPr>
        <w:tc>
          <w:tcPr>
            <w:tcW w:w="9286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DFAD716" w14:textId="77777777" w:rsidR="00384DC2" w:rsidRPr="00384DC2" w:rsidRDefault="00384DC2" w:rsidP="00384DC2">
            <w:pPr>
              <w:pStyle w:val="Opisslike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84DC2">
              <w:rPr>
                <w:rFonts w:ascii="Arial Narrow" w:hAnsi="Arial Narrow"/>
                <w:sz w:val="22"/>
                <w:szCs w:val="22"/>
                <w:lang w:val="it-IT"/>
              </w:rPr>
              <w:t>Modulo della Relazione sulla consultazione pubblica</w:t>
            </w:r>
          </w:p>
          <w:p w14:paraId="394121B8" w14:textId="0A46265A" w:rsidR="00384DC2" w:rsidRPr="00384DC2" w:rsidRDefault="00384DC2" w:rsidP="00384DC2">
            <w:pPr>
              <w:rPr>
                <w:rFonts w:ascii="Arial Narrow" w:hAnsi="Arial Narrow" w:cs="Times New Roman"/>
                <w:b/>
                <w:bCs/>
                <w:lang w:val="it-IT"/>
              </w:rPr>
            </w:pPr>
          </w:p>
        </w:tc>
      </w:tr>
      <w:tr w:rsidR="00384DC2" w:rsidRPr="00384DC2" w14:paraId="2C5F9C03" w14:textId="77777777" w:rsidTr="005D7F9E">
        <w:tc>
          <w:tcPr>
            <w:tcW w:w="2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02D7DF5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/>
                <w:bCs/>
                <w:lang w:val="it-IT"/>
              </w:rPr>
              <w:t>Titolo dell'atto per il quale è stata realizzata la consultazione pubblica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C45E1DF" w14:textId="77777777" w:rsidR="00384DC2" w:rsidRPr="00384DC2" w:rsidRDefault="00384DC2" w:rsidP="005D7F9E">
            <w:pPr>
              <w:spacing w:line="240" w:lineRule="auto"/>
              <w:rPr>
                <w:rFonts w:ascii="Arial Narrow" w:hAnsi="Arial Narrow" w:cs="Times New Roman"/>
                <w:bCs/>
                <w:lang w:val="it-IT"/>
              </w:rPr>
            </w:pPr>
          </w:p>
          <w:p w14:paraId="48578AF7" w14:textId="77777777" w:rsidR="00384DC2" w:rsidRPr="00384DC2" w:rsidRDefault="00384DC2" w:rsidP="00384DC2">
            <w:pPr>
              <w:spacing w:after="0" w:line="240" w:lineRule="auto"/>
              <w:ind w:left="2120" w:hanging="2120"/>
              <w:jc w:val="both"/>
              <w:rPr>
                <w:rFonts w:ascii="Arial Narrow" w:eastAsia="Times New Roman" w:hAnsi="Arial Narrow"/>
                <w:bCs/>
                <w:lang w:val="it-IT" w:eastAsia="hr-HR"/>
              </w:rPr>
            </w:pPr>
            <w:r w:rsidRPr="00384DC2">
              <w:rPr>
                <w:rFonts w:ascii="Arial Narrow" w:eastAsia="Times New Roman" w:hAnsi="Arial Narrow"/>
                <w:bCs/>
                <w:lang w:val="it-IT" w:eastAsia="hr-HR"/>
              </w:rPr>
              <w:t>Delibera sulle tasse locali della Città di Novigrad-Cittanova</w:t>
            </w:r>
          </w:p>
          <w:p w14:paraId="617B04E3" w14:textId="77777777" w:rsidR="00384DC2" w:rsidRPr="00384DC2" w:rsidRDefault="00384DC2" w:rsidP="0038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8" w:hanging="1418"/>
              <w:jc w:val="both"/>
              <w:textAlignment w:val="baseline"/>
              <w:rPr>
                <w:rFonts w:ascii="Arial Narrow" w:eastAsia="Times New Roman" w:hAnsi="Arial Narrow"/>
                <w:bCs/>
                <w:lang w:val="it-IT" w:eastAsia="hr-HR"/>
              </w:rPr>
            </w:pPr>
          </w:p>
          <w:p w14:paraId="6A5DD274" w14:textId="77777777" w:rsidR="00384DC2" w:rsidRPr="00384DC2" w:rsidRDefault="00384DC2" w:rsidP="00384DC2">
            <w:pPr>
              <w:spacing w:line="240" w:lineRule="auto"/>
              <w:rPr>
                <w:rFonts w:ascii="Arial Narrow" w:hAnsi="Arial Narrow" w:cs="Arial"/>
                <w:bCs/>
                <w:lang w:val="it-IT"/>
              </w:rPr>
            </w:pPr>
          </w:p>
        </w:tc>
      </w:tr>
      <w:tr w:rsidR="00384DC2" w:rsidRPr="00384DC2" w14:paraId="503C0D31" w14:textId="77777777" w:rsidTr="005D7F9E">
        <w:tc>
          <w:tcPr>
            <w:tcW w:w="2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F0D9D5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/>
                <w:bCs/>
                <w:lang w:val="it-IT"/>
              </w:rPr>
              <w:t xml:space="preserve">Nome dell'organo competente per l'elaborazione della bozza/attuazione della consultazione 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E1A9CE" w14:textId="77777777" w:rsidR="00384DC2" w:rsidRPr="00384DC2" w:rsidRDefault="00384DC2" w:rsidP="005D7F9E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Cs/>
                <w:lang w:val="it-IT"/>
              </w:rPr>
              <w:t>Città di Novigrad-Cittanova</w:t>
            </w:r>
          </w:p>
        </w:tc>
      </w:tr>
      <w:tr w:rsidR="00384DC2" w:rsidRPr="00384DC2" w14:paraId="63400EC1" w14:textId="77777777" w:rsidTr="005D7F9E">
        <w:tc>
          <w:tcPr>
            <w:tcW w:w="2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AD2E3F9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/>
                <w:bCs/>
                <w:lang w:val="it-IT"/>
              </w:rPr>
              <w:t>Motivi per l'approvazione dell'atto e gli obbiettivi che tendono ad essere raggiunti con sintesi delle questioni chiave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EE7F250" w14:textId="77777777" w:rsidR="00384DC2" w:rsidRPr="00384DC2" w:rsidRDefault="00384DC2" w:rsidP="00384DC2">
            <w:pPr>
              <w:spacing w:after="0"/>
              <w:ind w:firstLine="72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>La proposta della presente Delibera prevede che la tassa sui consumi continuerà ad essere pagata con un'aliquota del 3%, che è identica alla Delibera sulle tasse cittadine della Città di Novigrad-Cittanova attualmente in vigore (Bollettino ufficiale della Città di Novigrad-Cittanova N. 13/19, 16/20, 11/21).</w:t>
            </w:r>
          </w:p>
          <w:p w14:paraId="4347A8ED" w14:textId="77777777" w:rsidR="00384DC2" w:rsidRPr="00384DC2" w:rsidRDefault="00384DC2" w:rsidP="00384DC2">
            <w:pPr>
              <w:spacing w:after="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ab/>
              <w:t xml:space="preserve">Per la </w:t>
            </w:r>
            <w:r w:rsidRPr="00384DC2">
              <w:rPr>
                <w:rStyle w:val="ZaglavljeChar"/>
                <w:rFonts w:ascii="Arial Narrow" w:hAnsi="Arial Narrow"/>
                <w:i/>
                <w:iCs/>
                <w:lang w:val="it-IT" w:eastAsia="it-IT"/>
              </w:rPr>
              <w:t>Tassa sulla seconda casa</w:t>
            </w: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 xml:space="preserve"> si propone di aumentare l'imposta dagli attuali 1,99 euro al m2 a 5 euro al m2. L’importo dell’imposta non è cambiato dal 2001. Per il periodo dal 2001 al 2023, il tasso di inflazione è del 69%. Tenendo conto dell’effetto dell’inflazione e del fatto che l’importo specificato della tassa non è cambiato da più di 20 anni, l’importo rivalutato dell’imposta rappresenta l’allineamento con gli indicatori economici.</w:t>
            </w:r>
          </w:p>
          <w:p w14:paraId="2F2858FA" w14:textId="77777777" w:rsidR="00384DC2" w:rsidRPr="00384DC2" w:rsidRDefault="00384DC2" w:rsidP="00384DC2">
            <w:pPr>
              <w:spacing w:after="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</w:p>
          <w:p w14:paraId="39EA303C" w14:textId="77777777" w:rsidR="00384DC2" w:rsidRPr="00384DC2" w:rsidRDefault="00384DC2" w:rsidP="00384DC2">
            <w:pPr>
              <w:spacing w:after="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 xml:space="preserve">La </w:t>
            </w:r>
            <w:r w:rsidRPr="00384DC2">
              <w:rPr>
                <w:rStyle w:val="ZaglavljeChar"/>
                <w:rFonts w:ascii="Arial Narrow" w:hAnsi="Arial Narrow"/>
                <w:i/>
                <w:iCs/>
                <w:lang w:val="it-IT" w:eastAsia="it-IT"/>
              </w:rPr>
              <w:t>tassa sull'occupazione del suolo pubblico</w:t>
            </w: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 xml:space="preserve"> è pagata dalle persone fisiche e giuridiche che utilizzano le aree pubbliche, e l'importo de, le modalità, i termini di pagamento e il termine per il pagamento sono stabiliti dall'organo di rappresentanza dell'autonomia locale con delibera.</w:t>
            </w:r>
          </w:p>
          <w:p w14:paraId="68493739" w14:textId="77777777" w:rsidR="00384DC2" w:rsidRPr="00384DC2" w:rsidRDefault="00384DC2" w:rsidP="00384DC2">
            <w:pPr>
              <w:spacing w:after="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</w:p>
          <w:p w14:paraId="5BD88635" w14:textId="77777777" w:rsidR="00384DC2" w:rsidRPr="00384DC2" w:rsidRDefault="00384DC2" w:rsidP="00384DC2">
            <w:pPr>
              <w:spacing w:after="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>L’importo della tassa sull'occupazione del suolo pubblico nel comprensorio della Città di Novigrad-Cittanova non è cambiato negli ultimi 10 anni, cioè dal 2013, quando la tassa per l’uso delle aree pubbliche, stabilita contrattualmente, è stata determinata come tassa cittadina.</w:t>
            </w:r>
          </w:p>
          <w:p w14:paraId="1CA18CCD" w14:textId="77777777" w:rsidR="00384DC2" w:rsidRPr="00384DC2" w:rsidRDefault="00384DC2" w:rsidP="00384DC2">
            <w:pPr>
              <w:spacing w:after="0"/>
              <w:rPr>
                <w:rStyle w:val="ZaglavljeChar"/>
                <w:rFonts w:ascii="Arial Narrow" w:hAnsi="Arial Narrow"/>
                <w:lang w:val="it-IT" w:eastAsia="it-IT"/>
              </w:rPr>
            </w:pPr>
          </w:p>
          <w:p w14:paraId="7CA35D60" w14:textId="77777777" w:rsidR="00384DC2" w:rsidRPr="00384DC2" w:rsidRDefault="00384DC2" w:rsidP="00384DC2">
            <w:pPr>
              <w:spacing w:after="0"/>
              <w:rPr>
                <w:rStyle w:val="ZaglavljeChar"/>
                <w:rFonts w:ascii="Arial Narrow" w:hAnsi="Arial Narrow"/>
                <w:lang w:val="it-IT" w:eastAsia="it-IT"/>
              </w:rPr>
            </w:pP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>Nel periodo dal 2013 al 2023, secondo i dati dell'Istituto nazionale di statistica, il tasso di inflazione è superiore al 26%, e questo è un altro indicatore della necessità di armonizzare gli obblighi fiscali con la situazione economica.</w:t>
            </w:r>
          </w:p>
          <w:p w14:paraId="224221F7" w14:textId="77777777" w:rsidR="00384DC2" w:rsidRPr="00384DC2" w:rsidRDefault="00384DC2" w:rsidP="00384DC2">
            <w:pPr>
              <w:spacing w:after="0"/>
              <w:rPr>
                <w:rStyle w:val="ZaglavljeChar"/>
                <w:rFonts w:ascii="Arial Narrow" w:hAnsi="Arial Narrow"/>
                <w:lang w:val="it-IT" w:eastAsia="it-IT"/>
              </w:rPr>
            </w:pPr>
          </w:p>
          <w:p w14:paraId="5E1DBE65" w14:textId="77777777" w:rsidR="00384DC2" w:rsidRPr="00384DC2" w:rsidRDefault="00384DC2" w:rsidP="00384DC2">
            <w:pPr>
              <w:spacing w:after="0"/>
              <w:rPr>
                <w:rStyle w:val="ZaglavljeChar"/>
                <w:rFonts w:ascii="Arial Narrow" w:hAnsi="Arial Narrow"/>
                <w:lang w:val="it-IT" w:eastAsia="it-IT"/>
              </w:rPr>
            </w:pPr>
            <w:r w:rsidRPr="00384DC2">
              <w:rPr>
                <w:rStyle w:val="ZaglavljeChar"/>
                <w:rFonts w:ascii="Arial Narrow" w:hAnsi="Arial Narrow"/>
                <w:lang w:val="it-IT" w:eastAsia="it-IT"/>
              </w:rPr>
              <w:t>In conseguenza di quanto sopra si apporta una correzione aumentando i prezzi del 20% per la zona I e del 10% per la zona II.</w:t>
            </w:r>
          </w:p>
          <w:p w14:paraId="361E1557" w14:textId="77777777" w:rsidR="00384DC2" w:rsidRPr="00384DC2" w:rsidRDefault="00384DC2" w:rsidP="00384DC2">
            <w:pPr>
              <w:spacing w:after="0"/>
              <w:jc w:val="both"/>
              <w:rPr>
                <w:rStyle w:val="ZaglavljeChar"/>
                <w:rFonts w:ascii="Arial Narrow" w:hAnsi="Arial Narrow"/>
                <w:lang w:val="it-IT" w:eastAsia="it-IT"/>
              </w:rPr>
            </w:pPr>
          </w:p>
          <w:p w14:paraId="1A8B0B5F" w14:textId="16964BD5" w:rsidR="00384DC2" w:rsidRPr="00384DC2" w:rsidRDefault="00384DC2" w:rsidP="00384DC2">
            <w:pPr>
              <w:spacing w:after="0"/>
              <w:jc w:val="both"/>
              <w:rPr>
                <w:rFonts w:ascii="Arial Narrow" w:hAnsi="Arial Narrow" w:cs="Times New Roman"/>
                <w:bCs/>
                <w:lang w:val="it-IT"/>
              </w:rPr>
            </w:pPr>
          </w:p>
        </w:tc>
      </w:tr>
      <w:tr w:rsidR="00384DC2" w:rsidRPr="00384DC2" w14:paraId="0E6B024D" w14:textId="77777777" w:rsidTr="005D7F9E">
        <w:trPr>
          <w:trHeight w:val="525"/>
        </w:trPr>
        <w:tc>
          <w:tcPr>
            <w:tcW w:w="284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82FAC0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/>
                <w:bCs/>
                <w:lang w:val="it-IT"/>
              </w:rPr>
              <w:lastRenderedPageBreak/>
              <w:t>Pubblicazione dei documenti per la consultazione</w:t>
            </w:r>
          </w:p>
          <w:p w14:paraId="5ADA5C29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</w:p>
          <w:p w14:paraId="060E6485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</w:p>
          <w:p w14:paraId="7132EAB3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/>
                <w:bCs/>
                <w:lang w:val="it-IT"/>
              </w:rPr>
              <w:t>Periodo di durata della consultazione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35EB54" w14:textId="77777777" w:rsidR="00384DC2" w:rsidRPr="00384DC2" w:rsidRDefault="00000000" w:rsidP="00384DC2">
            <w:pPr>
              <w:spacing w:line="240" w:lineRule="auto"/>
              <w:contextualSpacing/>
              <w:rPr>
                <w:rFonts w:ascii="Arial Narrow" w:eastAsia="SimSun" w:hAnsi="Arial Narrow" w:cs="Times New Roman"/>
                <w:bCs/>
                <w:kern w:val="2"/>
                <w14:ligatures w14:val="standardContextual"/>
              </w:rPr>
            </w:pPr>
            <w:hyperlink r:id="rId6" w:history="1">
              <w:r w:rsidR="00384DC2" w:rsidRPr="00384DC2">
                <w:rPr>
                  <w:rFonts w:ascii="Arial Narrow" w:eastAsia="SimSun" w:hAnsi="Arial Narrow" w:cs="Times New Roman"/>
                  <w:bCs/>
                  <w:color w:val="0563C1"/>
                  <w:kern w:val="2"/>
                  <w:u w:val="single"/>
                  <w14:ligatures w14:val="standardContextual"/>
                </w:rPr>
                <w:t>www.novigrad.hr</w:t>
              </w:r>
            </w:hyperlink>
            <w:r w:rsidR="00384DC2" w:rsidRPr="00384DC2">
              <w:rPr>
                <w:rFonts w:ascii="Arial Narrow" w:eastAsia="SimSun" w:hAnsi="Arial Narrow" w:cs="Times New Roman"/>
                <w:bCs/>
                <w:kern w:val="2"/>
                <w14:ligatures w14:val="standardContextual"/>
              </w:rPr>
              <w:t xml:space="preserve">. </w:t>
            </w:r>
          </w:p>
          <w:p w14:paraId="6F0E3097" w14:textId="08DF234C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Cs/>
                <w:lang w:val="it-IT"/>
              </w:rPr>
            </w:pPr>
          </w:p>
        </w:tc>
      </w:tr>
      <w:tr w:rsidR="00384DC2" w:rsidRPr="00384DC2" w14:paraId="59C864BA" w14:textId="77777777" w:rsidTr="005D7F9E">
        <w:trPr>
          <w:trHeight w:val="619"/>
        </w:trPr>
        <w:tc>
          <w:tcPr>
            <w:tcW w:w="2843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A43F7C0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8447EE" w14:textId="38188531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Cs/>
                <w:lang w:val="it-IT"/>
              </w:rPr>
              <w:t>Il periodo di consultazione si è svolto</w:t>
            </w:r>
            <w:r w:rsidRPr="00384DC2">
              <w:rPr>
                <w:rFonts w:ascii="Arial Narrow" w:hAnsi="Arial Narrow" w:cs="Times New Roman"/>
                <w:b/>
                <w:lang w:val="it-IT"/>
              </w:rPr>
              <w:t xml:space="preserve"> dal 10/11/2023 fino al 11/12/2023</w:t>
            </w:r>
          </w:p>
        </w:tc>
      </w:tr>
      <w:tr w:rsidR="00384DC2" w:rsidRPr="00384DC2" w14:paraId="3CC38A2C" w14:textId="77777777" w:rsidTr="005D7F9E">
        <w:tc>
          <w:tcPr>
            <w:tcW w:w="2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D29A7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eastAsia="Calibri" w:hAnsi="Arial Narrow" w:cs="Times New Roman"/>
                <w:b/>
                <w:bCs/>
                <w:lang w:val="it-IT" w:eastAsia="en-US"/>
              </w:rPr>
              <w:t>Panoramica degli indicatori di base del coinvolgimento della consultazione con il pubblico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4C3F610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Cs/>
                <w:lang w:val="it-IT"/>
              </w:rPr>
              <w:t>Non sono state presentate proposte o pareri.</w:t>
            </w:r>
          </w:p>
        </w:tc>
      </w:tr>
      <w:tr w:rsidR="00384DC2" w:rsidRPr="00384DC2" w14:paraId="444D5325" w14:textId="77777777" w:rsidTr="005D7F9E">
        <w:tc>
          <w:tcPr>
            <w:tcW w:w="2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9882F7" w14:textId="77777777" w:rsidR="00384DC2" w:rsidRPr="00384DC2" w:rsidRDefault="00384DC2" w:rsidP="005D7F9E">
            <w:pPr>
              <w:spacing w:after="120" w:line="240" w:lineRule="auto"/>
              <w:rPr>
                <w:rFonts w:ascii="Arial Narrow" w:eastAsia="Calibri" w:hAnsi="Arial Narrow" w:cs="Times New Roman"/>
                <w:b/>
                <w:bCs/>
                <w:lang w:val="it-IT" w:eastAsia="en-US"/>
              </w:rPr>
            </w:pPr>
            <w:r w:rsidRPr="00384DC2">
              <w:rPr>
                <w:rFonts w:ascii="Arial Narrow" w:eastAsia="Calibri" w:hAnsi="Arial Narrow" w:cs="Times New Roman"/>
                <w:b/>
                <w:bCs/>
                <w:lang w:val="it-IT" w:eastAsia="en-US"/>
              </w:rPr>
              <w:t>Panoramica dei pareri e delle proposte accettate e respinte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9E5146C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Cs/>
                <w:lang w:val="it-IT"/>
              </w:rPr>
              <w:t>-</w:t>
            </w:r>
          </w:p>
        </w:tc>
      </w:tr>
      <w:tr w:rsidR="00384DC2" w:rsidRPr="00384DC2" w14:paraId="05B4F566" w14:textId="77777777" w:rsidTr="005D7F9E">
        <w:tc>
          <w:tcPr>
            <w:tcW w:w="2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B7919" w14:textId="77777777" w:rsidR="00384DC2" w:rsidRPr="00384DC2" w:rsidRDefault="00384DC2" w:rsidP="005D7F9E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/>
                <w:bCs/>
                <w:lang w:val="it-IT"/>
              </w:rPr>
              <w:t>Costi della consultazione pubblica</w:t>
            </w:r>
          </w:p>
        </w:tc>
        <w:tc>
          <w:tcPr>
            <w:tcW w:w="64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E198EF" w14:textId="77777777" w:rsidR="00384DC2" w:rsidRPr="00384DC2" w:rsidRDefault="00384DC2" w:rsidP="005D7F9E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lang w:val="it-IT"/>
              </w:rPr>
            </w:pPr>
            <w:r w:rsidRPr="00384DC2">
              <w:rPr>
                <w:rFonts w:ascii="Arial Narrow" w:hAnsi="Arial Narrow" w:cs="Times New Roman"/>
                <w:bCs/>
                <w:lang w:val="it-IT"/>
              </w:rPr>
              <w:t>Non vi sono state spese legate alla procedura della consultazione pubblica.</w:t>
            </w:r>
          </w:p>
        </w:tc>
      </w:tr>
    </w:tbl>
    <w:p w14:paraId="0A37051A" w14:textId="77777777" w:rsidR="00384DC2" w:rsidRPr="00384DC2" w:rsidRDefault="00384DC2" w:rsidP="00384DC2">
      <w:pPr>
        <w:rPr>
          <w:rFonts w:ascii="Arial Narrow" w:eastAsia="Calibri" w:hAnsi="Arial Narrow" w:cs="Times New Roman"/>
          <w:b/>
          <w:bCs/>
          <w:lang w:val="it-IT" w:eastAsia="en-US"/>
        </w:rPr>
      </w:pPr>
      <w:bookmarkStart w:id="0" w:name="_Toc468978618"/>
      <w:bookmarkEnd w:id="0"/>
    </w:p>
    <w:p w14:paraId="32BC69AD" w14:textId="77777777" w:rsidR="000B3C9A" w:rsidRDefault="000B3C9A"/>
    <w:sectPr w:rsidR="000B3C9A" w:rsidSect="00827BAB">
      <w:headerReference w:type="default" r:id="rId7"/>
      <w:pgSz w:w="11906" w:h="16838"/>
      <w:pgMar w:top="69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CC55" w14:textId="77777777" w:rsidR="00304FBC" w:rsidRDefault="00304FBC">
      <w:pPr>
        <w:spacing w:after="0" w:line="240" w:lineRule="auto"/>
      </w:pPr>
      <w:r>
        <w:separator/>
      </w:r>
    </w:p>
  </w:endnote>
  <w:endnote w:type="continuationSeparator" w:id="0">
    <w:p w14:paraId="3A90699E" w14:textId="77777777" w:rsidR="00304FBC" w:rsidRDefault="0030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69FE" w14:textId="77777777" w:rsidR="00304FBC" w:rsidRDefault="00304FBC">
      <w:pPr>
        <w:spacing w:after="0" w:line="240" w:lineRule="auto"/>
      </w:pPr>
      <w:r>
        <w:separator/>
      </w:r>
    </w:p>
  </w:footnote>
  <w:footnote w:type="continuationSeparator" w:id="0">
    <w:p w14:paraId="6C0F07E2" w14:textId="77777777" w:rsidR="00304FBC" w:rsidRDefault="0030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="Batang" w:hAnsi="Arial Narrow" w:cs="Arial"/>
        <w:color w:val="000000"/>
        <w:lang w:eastAsia="ko-KR"/>
      </w:rPr>
      <w:alias w:val="Naslov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BCB6F03" w14:textId="2F988FDE" w:rsidR="0050120D" w:rsidRPr="001E46F7" w:rsidRDefault="006C6108" w:rsidP="00BD096A">
        <w:pPr>
          <w:pStyle w:val="Zaglavlje"/>
          <w:pBdr>
            <w:bottom w:val="thickThinSmallGap" w:sz="24" w:space="1" w:color="823B0B" w:themeColor="accent2" w:themeShade="7F"/>
          </w:pBdr>
          <w:jc w:val="center"/>
          <w:rPr>
            <w:rFonts w:ascii="Arial Narrow" w:eastAsiaTheme="majorEastAsia" w:hAnsi="Arial Narrow" w:cstheme="majorBidi"/>
          </w:rPr>
        </w:pPr>
        <w:r>
          <w:rPr>
            <w:rFonts w:ascii="Arial Narrow" w:eastAsia="Batang" w:hAnsi="Arial Narrow" w:cs="Arial"/>
            <w:color w:val="000000"/>
            <w:lang w:eastAsia="ko-KR"/>
          </w:rPr>
          <w:t xml:space="preserve">     </w:t>
        </w:r>
      </w:p>
    </w:sdtContent>
  </w:sdt>
  <w:p w14:paraId="466ECB9D" w14:textId="77777777" w:rsidR="0050120D" w:rsidRDefault="0050120D" w:rsidP="00BD096A">
    <w:pPr>
      <w:pStyle w:val="Zaglavlje"/>
    </w:pPr>
  </w:p>
  <w:p w14:paraId="238613E3" w14:textId="77777777" w:rsidR="0050120D" w:rsidRDefault="0050120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4"/>
    <w:rsid w:val="000B3C9A"/>
    <w:rsid w:val="002E7D44"/>
    <w:rsid w:val="00304FBC"/>
    <w:rsid w:val="0032606F"/>
    <w:rsid w:val="00384DC2"/>
    <w:rsid w:val="0050120D"/>
    <w:rsid w:val="006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D988"/>
  <w15:chartTrackingRefBased/>
  <w15:docId w15:val="{13DC06FE-C7C1-4221-943D-1E2342C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C2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84D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4DC2"/>
    <w:rPr>
      <w:rFonts w:ascii="Cambria" w:eastAsia="Times New Roman" w:hAnsi="Cambria" w:cs="Times New Roman"/>
      <w:b/>
      <w:bCs/>
      <w:kern w:val="32"/>
      <w:sz w:val="32"/>
      <w:szCs w:val="32"/>
      <w:lang w:eastAsia="hr-HR"/>
      <w14:ligatures w14:val="none"/>
    </w:rPr>
  </w:style>
  <w:style w:type="paragraph" w:styleId="Opisslike">
    <w:name w:val="caption"/>
    <w:basedOn w:val="Normal"/>
    <w:next w:val="Normal"/>
    <w:uiPriority w:val="35"/>
    <w:qFormat/>
    <w:rsid w:val="00384DC2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8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4DC2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grad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dcterms:created xsi:type="dcterms:W3CDTF">2023-12-12T10:49:00Z</dcterms:created>
  <dcterms:modified xsi:type="dcterms:W3CDTF">2023-12-12T10:49:00Z</dcterms:modified>
</cp:coreProperties>
</file>