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E97E" w14:textId="77777777" w:rsidR="00787735" w:rsidRPr="00BB316C" w:rsidRDefault="00787735" w:rsidP="00787735">
      <w:pPr>
        <w:pStyle w:val="Tijeloteksta"/>
        <w:jc w:val="both"/>
        <w:rPr>
          <w:rFonts w:ascii="Arial Narrow" w:hAnsi="Arial Narrow" w:cs="Arial"/>
          <w:szCs w:val="22"/>
          <w:lang w:val="it-IT"/>
        </w:rPr>
      </w:pPr>
      <w:r w:rsidRPr="00BB316C">
        <w:rPr>
          <w:rFonts w:ascii="Arial Narrow" w:hAnsi="Arial Narrow" w:cs="Arial"/>
          <w:szCs w:val="22"/>
          <w:lang w:val="it-IT"/>
        </w:rPr>
        <w:t xml:space="preserve">Ai sensi dell'articolo 67 comma 1 della Legge sull'economia comunale (Gazzetta ufficiale n. 68/18, 118/18 e 32/20) e degli articoli 39 e 101 dello Statuto della Città di Novigrad-Cittanova ("Bollettino ufficiale della Città di Novigrad-Cittanova n. 5/09, 3/13, 2/14, 2/17, 1/18, 2/20, 1/21,6/21, 7/21- testo consolidato), il Consiglio cittadino della Città di Novigrad - Cittanova nella seduta del </w:t>
      </w:r>
      <w:r>
        <w:rPr>
          <w:rFonts w:ascii="Arial Narrow" w:hAnsi="Arial Narrow" w:cs="Arial"/>
          <w:szCs w:val="22"/>
          <w:lang w:val="it-IT"/>
        </w:rPr>
        <w:t>____dicembre 2023</w:t>
      </w:r>
      <w:r w:rsidRPr="00BB316C">
        <w:rPr>
          <w:rFonts w:ascii="Arial Narrow" w:hAnsi="Arial Narrow" w:cs="Arial"/>
          <w:szCs w:val="22"/>
          <w:lang w:val="it-IT"/>
        </w:rPr>
        <w:t xml:space="preserve"> emana le seguenti</w:t>
      </w:r>
    </w:p>
    <w:p w14:paraId="2D4D5AFF" w14:textId="77777777" w:rsidR="00787735" w:rsidRPr="00BB316C" w:rsidRDefault="00787735" w:rsidP="00787735">
      <w:pPr>
        <w:pStyle w:val="Tijeloteksta"/>
        <w:ind w:firstLine="708"/>
        <w:rPr>
          <w:rFonts w:ascii="Arial Narrow" w:hAnsi="Arial Narrow" w:cs="Arial"/>
          <w:szCs w:val="22"/>
          <w:lang w:val="it-IT"/>
        </w:rPr>
      </w:pPr>
    </w:p>
    <w:p w14:paraId="0BA8A269" w14:textId="77777777" w:rsidR="00787735" w:rsidRPr="00BB316C" w:rsidRDefault="00787735" w:rsidP="00787735">
      <w:pPr>
        <w:jc w:val="center"/>
        <w:rPr>
          <w:rFonts w:ascii="Arial Narrow" w:hAnsi="Arial Narrow" w:cs="Arial"/>
          <w:b/>
          <w:bCs/>
          <w:lang w:val="it-IT"/>
        </w:rPr>
      </w:pPr>
      <w:r w:rsidRPr="00BB316C">
        <w:rPr>
          <w:rFonts w:ascii="Arial Narrow" w:hAnsi="Arial Narrow" w:cs="Arial"/>
          <w:b/>
          <w:lang w:val="it-IT"/>
        </w:rPr>
        <w:t xml:space="preserve">MODIFICHE E INTEGRAZIONI DEL PROGRAMMA </w:t>
      </w:r>
    </w:p>
    <w:p w14:paraId="5F6B4B58" w14:textId="77777777" w:rsidR="00787735" w:rsidRPr="00BB316C" w:rsidRDefault="00787735" w:rsidP="00787735">
      <w:pPr>
        <w:pStyle w:val="Tijeloteksta"/>
        <w:jc w:val="center"/>
        <w:rPr>
          <w:rFonts w:ascii="Arial Narrow" w:hAnsi="Arial Narrow" w:cs="Arial"/>
          <w:b/>
          <w:bCs/>
          <w:szCs w:val="22"/>
          <w:lang w:val="it-IT"/>
        </w:rPr>
      </w:pPr>
      <w:r w:rsidRPr="00BB316C">
        <w:rPr>
          <w:rFonts w:ascii="Arial Narrow" w:hAnsi="Arial Narrow" w:cs="Arial"/>
          <w:b/>
          <w:szCs w:val="22"/>
          <w:lang w:val="it-IT"/>
        </w:rPr>
        <w:t>di costruzione dell'infrastruttura comunale</w:t>
      </w:r>
    </w:p>
    <w:p w14:paraId="32364776" w14:textId="77777777" w:rsidR="00787735" w:rsidRPr="00BB316C" w:rsidRDefault="00787735" w:rsidP="00787735">
      <w:pPr>
        <w:pStyle w:val="Tijeloteksta"/>
        <w:jc w:val="center"/>
        <w:rPr>
          <w:rFonts w:ascii="Arial Narrow" w:hAnsi="Arial Narrow" w:cs="Arial"/>
          <w:b/>
          <w:bCs/>
          <w:szCs w:val="22"/>
          <w:lang w:val="it-IT"/>
        </w:rPr>
      </w:pPr>
      <w:r w:rsidRPr="00BB316C">
        <w:rPr>
          <w:rFonts w:ascii="Arial Narrow" w:hAnsi="Arial Narrow" w:cs="Arial"/>
          <w:b/>
          <w:szCs w:val="22"/>
          <w:lang w:val="it-IT"/>
        </w:rPr>
        <w:t>per il 202</w:t>
      </w:r>
      <w:r>
        <w:rPr>
          <w:rFonts w:ascii="Arial Narrow" w:hAnsi="Arial Narrow" w:cs="Arial"/>
          <w:b/>
          <w:szCs w:val="22"/>
          <w:lang w:val="it-IT"/>
        </w:rPr>
        <w:t>3</w:t>
      </w:r>
    </w:p>
    <w:p w14:paraId="67604132" w14:textId="77777777" w:rsidR="00787735" w:rsidRPr="00BB316C" w:rsidRDefault="00787735" w:rsidP="00787735">
      <w:pPr>
        <w:pStyle w:val="Tijeloteksta"/>
        <w:jc w:val="center"/>
        <w:rPr>
          <w:rFonts w:ascii="Arial Narrow" w:hAnsi="Arial Narrow" w:cs="Arial"/>
          <w:b/>
          <w:bCs/>
          <w:szCs w:val="22"/>
          <w:lang w:val="it-IT"/>
        </w:rPr>
      </w:pPr>
    </w:p>
    <w:p w14:paraId="72B2185E" w14:textId="77777777" w:rsidR="00787735" w:rsidRPr="00BB316C" w:rsidRDefault="00787735" w:rsidP="00787735">
      <w:pPr>
        <w:pStyle w:val="Tijeloteksta"/>
        <w:rPr>
          <w:rFonts w:ascii="Arial Narrow" w:hAnsi="Arial Narrow" w:cs="Arial"/>
          <w:b/>
          <w:szCs w:val="22"/>
          <w:lang w:val="it-IT"/>
        </w:rPr>
      </w:pPr>
    </w:p>
    <w:p w14:paraId="355DBBFF" w14:textId="77777777" w:rsidR="00787735" w:rsidRPr="00BB316C" w:rsidRDefault="00787735" w:rsidP="00787735">
      <w:pPr>
        <w:pStyle w:val="Tijeloteksta"/>
        <w:rPr>
          <w:rFonts w:ascii="Arial Narrow" w:hAnsi="Arial Narrow" w:cs="Arial"/>
          <w:szCs w:val="22"/>
          <w:lang w:val="it-IT"/>
        </w:rPr>
      </w:pPr>
    </w:p>
    <w:p w14:paraId="6801E40D" w14:textId="77777777" w:rsidR="00787735" w:rsidRPr="00BB316C" w:rsidRDefault="00787735" w:rsidP="00787735">
      <w:pPr>
        <w:pStyle w:val="Tijeloteksta"/>
        <w:jc w:val="center"/>
        <w:rPr>
          <w:rFonts w:ascii="Arial Narrow" w:hAnsi="Arial Narrow" w:cs="Arial"/>
          <w:b/>
          <w:bCs/>
          <w:szCs w:val="22"/>
          <w:lang w:val="it-IT"/>
        </w:rPr>
      </w:pPr>
      <w:r w:rsidRPr="00BB316C">
        <w:rPr>
          <w:rFonts w:ascii="Arial Narrow" w:hAnsi="Arial Narrow" w:cs="Arial"/>
          <w:b/>
          <w:bCs/>
          <w:szCs w:val="22"/>
          <w:lang w:val="it-IT"/>
        </w:rPr>
        <w:t>Articolo 1</w:t>
      </w:r>
    </w:p>
    <w:p w14:paraId="2B96AC54" w14:textId="77777777" w:rsidR="00787735" w:rsidRPr="00BB316C" w:rsidRDefault="00787735" w:rsidP="00787735">
      <w:pPr>
        <w:pStyle w:val="Tijeloteksta"/>
        <w:rPr>
          <w:rFonts w:ascii="Arial Narrow" w:hAnsi="Arial Narrow" w:cs="Arial"/>
          <w:b/>
          <w:bCs/>
          <w:szCs w:val="22"/>
          <w:lang w:val="it-IT"/>
        </w:rPr>
      </w:pPr>
    </w:p>
    <w:p w14:paraId="4E5DD1AE" w14:textId="77777777" w:rsidR="00787735" w:rsidRPr="00BB316C" w:rsidRDefault="00787735" w:rsidP="00787735">
      <w:pPr>
        <w:pStyle w:val="Tijeloteksta"/>
        <w:jc w:val="both"/>
        <w:rPr>
          <w:rFonts w:ascii="Arial Narrow" w:hAnsi="Arial Narrow" w:cs="Arial"/>
          <w:szCs w:val="22"/>
          <w:lang w:val="it-IT"/>
        </w:rPr>
      </w:pPr>
      <w:r>
        <w:rPr>
          <w:rFonts w:ascii="Arial Narrow" w:hAnsi="Arial Narrow" w:cs="Arial"/>
          <w:szCs w:val="22"/>
          <w:lang w:val="it-IT"/>
        </w:rPr>
        <w:t>A</w:t>
      </w:r>
      <w:r w:rsidRPr="00BB316C">
        <w:rPr>
          <w:rFonts w:ascii="Arial Narrow" w:hAnsi="Arial Narrow" w:cs="Arial"/>
          <w:szCs w:val="22"/>
          <w:lang w:val="it-IT"/>
        </w:rPr>
        <w:t xml:space="preserve">lla seduta del Consiglio cittadino della Città di Novigrad-Cittanova tenutasi il </w:t>
      </w:r>
      <w:r>
        <w:rPr>
          <w:rFonts w:ascii="Arial Narrow" w:hAnsi="Arial Narrow" w:cs="Arial"/>
          <w:szCs w:val="22"/>
          <w:lang w:val="it-IT"/>
        </w:rPr>
        <w:t>22</w:t>
      </w:r>
      <w:r w:rsidRPr="00BB316C">
        <w:rPr>
          <w:rFonts w:ascii="Arial Narrow" w:hAnsi="Arial Narrow" w:cs="Arial"/>
          <w:szCs w:val="22"/>
          <w:lang w:val="it-IT"/>
        </w:rPr>
        <w:t xml:space="preserve"> dicembre 202</w:t>
      </w:r>
      <w:r>
        <w:rPr>
          <w:rFonts w:ascii="Arial Narrow" w:hAnsi="Arial Narrow" w:cs="Arial"/>
          <w:szCs w:val="22"/>
          <w:lang w:val="it-IT"/>
        </w:rPr>
        <w:t>2</w:t>
      </w:r>
      <w:r w:rsidRPr="00BB316C">
        <w:rPr>
          <w:rFonts w:ascii="Arial Narrow" w:hAnsi="Arial Narrow" w:cs="Arial"/>
          <w:szCs w:val="22"/>
          <w:lang w:val="it-IT"/>
        </w:rPr>
        <w:t xml:space="preserve"> è stato emanato il Programma di costruzione dell’infrastruttura comunale (di seguito: Programma) nel comprensorio della Città di Novigrad-Cittanova (di seguito: Città) per il 202</w:t>
      </w:r>
      <w:r>
        <w:rPr>
          <w:rFonts w:ascii="Arial Narrow" w:hAnsi="Arial Narrow" w:cs="Arial"/>
          <w:szCs w:val="22"/>
          <w:lang w:val="it-IT"/>
        </w:rPr>
        <w:t>3</w:t>
      </w:r>
      <w:r w:rsidRPr="00BB316C">
        <w:rPr>
          <w:rFonts w:ascii="Arial Narrow" w:hAnsi="Arial Narrow" w:cs="Arial"/>
          <w:szCs w:val="22"/>
          <w:lang w:val="it-IT"/>
        </w:rPr>
        <w:t xml:space="preserve"> come segue:</w:t>
      </w:r>
    </w:p>
    <w:p w14:paraId="0041DEC6" w14:textId="77777777" w:rsidR="00787735" w:rsidRPr="00BB316C" w:rsidRDefault="00787735" w:rsidP="00787735">
      <w:pPr>
        <w:pStyle w:val="Tijeloteksta"/>
        <w:numPr>
          <w:ilvl w:val="0"/>
          <w:numId w:val="1"/>
        </w:numPr>
        <w:ind w:left="567"/>
        <w:rPr>
          <w:rFonts w:ascii="Arial Narrow" w:hAnsi="Arial Narrow" w:cs="Arial"/>
          <w:szCs w:val="22"/>
          <w:lang w:val="it-IT"/>
        </w:rPr>
      </w:pPr>
      <w:r w:rsidRPr="00BB316C">
        <w:rPr>
          <w:rFonts w:ascii="Arial Narrow" w:hAnsi="Arial Narrow" w:cs="Arial"/>
          <w:szCs w:val="22"/>
          <w:lang w:val="it-IT"/>
        </w:rPr>
        <w:t>edifici infrastrutturali comunali da costruire allo scopo di assetto delle parti non regolamentate dell'area edificabile,</w:t>
      </w:r>
    </w:p>
    <w:p w14:paraId="7A0C0E3E" w14:textId="77777777" w:rsidR="00787735" w:rsidRPr="00BB316C" w:rsidRDefault="00787735" w:rsidP="00787735">
      <w:pPr>
        <w:pStyle w:val="Tijeloteksta"/>
        <w:numPr>
          <w:ilvl w:val="0"/>
          <w:numId w:val="1"/>
        </w:numPr>
        <w:ind w:left="567"/>
        <w:rPr>
          <w:rFonts w:ascii="Arial Narrow" w:hAnsi="Arial Narrow" w:cs="Arial"/>
          <w:szCs w:val="22"/>
          <w:lang w:val="it-IT"/>
        </w:rPr>
      </w:pPr>
      <w:r w:rsidRPr="00BB316C">
        <w:rPr>
          <w:rFonts w:ascii="Arial Narrow" w:hAnsi="Arial Narrow" w:cs="Arial"/>
          <w:szCs w:val="22"/>
          <w:lang w:val="it-IT"/>
        </w:rPr>
        <w:t>edifici infrastrutturali comunali da costruire nelle parti sistemate dell'area edificabile,</w:t>
      </w:r>
    </w:p>
    <w:p w14:paraId="3B8B6932" w14:textId="77777777" w:rsidR="00787735" w:rsidRPr="00BB316C" w:rsidRDefault="00787735" w:rsidP="00787735">
      <w:pPr>
        <w:pStyle w:val="Tijeloteksta"/>
        <w:numPr>
          <w:ilvl w:val="0"/>
          <w:numId w:val="1"/>
        </w:numPr>
        <w:ind w:left="567"/>
        <w:rPr>
          <w:rFonts w:ascii="Arial Narrow" w:hAnsi="Arial Narrow" w:cs="Arial"/>
          <w:szCs w:val="22"/>
          <w:lang w:val="it-IT"/>
        </w:rPr>
      </w:pPr>
      <w:r w:rsidRPr="00BB316C">
        <w:rPr>
          <w:rFonts w:ascii="Arial Narrow" w:hAnsi="Arial Narrow" w:cs="Arial"/>
          <w:szCs w:val="22"/>
          <w:lang w:val="it-IT"/>
        </w:rPr>
        <w:t>edifici esistenti di infrastrutture comunali che saranno ricostruiti e le modalità di ricostruzione,</w:t>
      </w:r>
    </w:p>
    <w:p w14:paraId="6E4F7103" w14:textId="77777777" w:rsidR="00787735" w:rsidRPr="00BB316C" w:rsidRDefault="00787735" w:rsidP="00787735">
      <w:pPr>
        <w:pStyle w:val="Tijeloteksta"/>
        <w:rPr>
          <w:rFonts w:ascii="Arial Narrow" w:hAnsi="Arial Narrow" w:cs="Arial"/>
          <w:bCs/>
          <w:szCs w:val="22"/>
          <w:lang w:val="it-IT"/>
        </w:rPr>
      </w:pPr>
    </w:p>
    <w:p w14:paraId="78AF75B9" w14:textId="77777777" w:rsidR="00787735" w:rsidRPr="00BB316C" w:rsidRDefault="00787735" w:rsidP="00787735">
      <w:pPr>
        <w:pStyle w:val="Tijeloteksta"/>
        <w:jc w:val="both"/>
        <w:rPr>
          <w:rFonts w:ascii="Arial Narrow" w:hAnsi="Arial Narrow" w:cs="Arial"/>
          <w:b/>
          <w:bCs/>
          <w:szCs w:val="22"/>
          <w:lang w:val="it-IT"/>
        </w:rPr>
      </w:pPr>
      <w:r w:rsidRPr="00BB316C">
        <w:rPr>
          <w:rFonts w:ascii="Arial Narrow" w:hAnsi="Arial Narrow" w:cs="Arial"/>
          <w:bCs/>
          <w:szCs w:val="22"/>
          <w:lang w:val="it-IT"/>
        </w:rPr>
        <w:tab/>
      </w:r>
    </w:p>
    <w:p w14:paraId="7E444126" w14:textId="77777777" w:rsidR="00787735" w:rsidRPr="00BB316C" w:rsidRDefault="00787735" w:rsidP="00787735">
      <w:pPr>
        <w:pStyle w:val="Tijeloteksta"/>
        <w:jc w:val="center"/>
        <w:rPr>
          <w:rFonts w:ascii="Arial Narrow" w:hAnsi="Arial Narrow" w:cs="Arial"/>
          <w:b/>
          <w:bCs/>
          <w:szCs w:val="22"/>
          <w:lang w:val="it-IT"/>
        </w:rPr>
      </w:pPr>
      <w:r w:rsidRPr="00BB316C">
        <w:rPr>
          <w:rFonts w:ascii="Arial Narrow" w:hAnsi="Arial Narrow" w:cs="Arial"/>
          <w:b/>
          <w:bCs/>
          <w:szCs w:val="22"/>
          <w:lang w:val="it-IT"/>
        </w:rPr>
        <w:t>Articolo 2</w:t>
      </w:r>
    </w:p>
    <w:p w14:paraId="1B845441" w14:textId="77777777" w:rsidR="00787735" w:rsidRPr="00BB316C" w:rsidRDefault="00787735" w:rsidP="00787735">
      <w:pPr>
        <w:pStyle w:val="Tijeloteksta"/>
        <w:rPr>
          <w:rFonts w:ascii="Arial Narrow" w:hAnsi="Arial Narrow" w:cs="Arial"/>
          <w:b/>
          <w:bCs/>
          <w:szCs w:val="22"/>
          <w:lang w:val="it-IT"/>
        </w:rPr>
      </w:pPr>
    </w:p>
    <w:p w14:paraId="3EA1086C" w14:textId="77777777" w:rsidR="00787735" w:rsidRPr="00606247" w:rsidRDefault="00787735" w:rsidP="00787735">
      <w:pPr>
        <w:pStyle w:val="Tijeloteksta"/>
        <w:rPr>
          <w:rFonts w:ascii="Arial Narrow" w:hAnsi="Arial Narrow" w:cs="Arial"/>
          <w:szCs w:val="22"/>
          <w:lang w:val="it-IT"/>
        </w:rPr>
      </w:pPr>
      <w:r w:rsidRPr="00606247">
        <w:rPr>
          <w:rFonts w:ascii="Arial Narrow" w:hAnsi="Arial Narrow" w:cs="Arial"/>
          <w:szCs w:val="22"/>
          <w:lang w:val="it-IT"/>
        </w:rPr>
        <w:t>L’articolo 2 è così modificato:</w:t>
      </w:r>
    </w:p>
    <w:p w14:paraId="42CCE3A9" w14:textId="10CCF279" w:rsidR="00787735" w:rsidRDefault="00787735" w:rsidP="00787735">
      <w:pPr>
        <w:pStyle w:val="Tijeloteksta"/>
        <w:rPr>
          <w:rFonts w:ascii="Arial Narrow" w:hAnsi="Arial Narrow" w:cs="Arial"/>
          <w:szCs w:val="22"/>
          <w:lang w:val="it-IT"/>
        </w:rPr>
      </w:pPr>
      <w:r w:rsidRPr="00606247">
        <w:rPr>
          <w:rFonts w:ascii="Arial Narrow" w:hAnsi="Arial Narrow" w:cs="Arial"/>
          <w:szCs w:val="22"/>
          <w:lang w:val="it-IT"/>
        </w:rPr>
        <w:t xml:space="preserve">"La costruzione degli edifici delle infrastrutture comunali che saranno costruiti allo scopo di sistemare le parti non organizzate dell'area edificabile per un importo totale di </w:t>
      </w:r>
      <w:r w:rsidR="005662AC" w:rsidRPr="005662AC">
        <w:rPr>
          <w:rFonts w:ascii="Arial Narrow" w:hAnsi="Arial Narrow" w:cs="Arial"/>
          <w:szCs w:val="22"/>
          <w:lang w:val="it-IT"/>
        </w:rPr>
        <w:t xml:space="preserve">53.000,00 </w:t>
      </w:r>
      <w:r w:rsidRPr="00606247">
        <w:rPr>
          <w:rFonts w:ascii="Arial Narrow" w:hAnsi="Arial Narrow" w:cs="Arial"/>
          <w:szCs w:val="22"/>
          <w:lang w:val="it-IT"/>
        </w:rPr>
        <w:t>euro sarà finanziata dal contributo comunale, come segue:</w:t>
      </w:r>
    </w:p>
    <w:p w14:paraId="4946AEB9" w14:textId="77777777" w:rsidR="00787735" w:rsidRDefault="00787735" w:rsidP="00787735">
      <w:pPr>
        <w:pStyle w:val="Tijeloteksta"/>
        <w:rPr>
          <w:rFonts w:ascii="Arial Narrow" w:hAnsi="Arial Narrow" w:cs="Arial"/>
          <w:szCs w:val="22"/>
          <w:lang w:val="it-IT"/>
        </w:rPr>
      </w:pPr>
    </w:p>
    <w:p w14:paraId="37A9D15D" w14:textId="77777777" w:rsidR="00787735" w:rsidRPr="002B2AF6" w:rsidRDefault="00787735" w:rsidP="00787735">
      <w:pPr>
        <w:pStyle w:val="Tijeloteksta"/>
        <w:rPr>
          <w:rFonts w:ascii="Arial Narrow" w:hAnsi="Arial Narrow" w:cs="Arial"/>
          <w:szCs w:val="22"/>
          <w:lang w:val="it-IT"/>
        </w:rPr>
      </w:pPr>
      <w:r w:rsidRPr="00BB316C">
        <w:rPr>
          <w:rFonts w:ascii="Arial Narrow" w:hAnsi="Arial Narrow" w:cs="Arial"/>
          <w:szCs w:val="22"/>
          <w:lang w:val="it-IT"/>
        </w:rPr>
        <w:t>1. Strade non classificate</w:t>
      </w:r>
    </w:p>
    <w:tbl>
      <w:tblPr>
        <w:tblW w:w="9222" w:type="dxa"/>
        <w:tblCellSpacing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661"/>
        <w:gridCol w:w="5000"/>
        <w:gridCol w:w="2551"/>
      </w:tblGrid>
      <w:tr w:rsidR="00787735" w:rsidRPr="00BB316C" w14:paraId="0912A788" w14:textId="77777777" w:rsidTr="00A20205">
        <w:trPr>
          <w:tblCellSpacing w:w="0" w:type="dxa"/>
        </w:trPr>
        <w:tc>
          <w:tcPr>
            <w:tcW w:w="1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08D1B4AE" w14:textId="77777777" w:rsidR="00787735" w:rsidRPr="00BB316C" w:rsidRDefault="00787735" w:rsidP="00A20205">
            <w:pPr>
              <w:spacing w:after="75" w:line="240" w:lineRule="auto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proofErr w:type="spellStart"/>
            <w:r w:rsidRPr="00BB316C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N.p</w:t>
            </w:r>
            <w:proofErr w:type="spellEnd"/>
            <w:r w:rsidRPr="00BB316C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700D2D28" w14:textId="77777777" w:rsidR="00787735" w:rsidRPr="00BB316C" w:rsidRDefault="00787735" w:rsidP="00A20205">
            <w:pPr>
              <w:spacing w:after="75" w:line="240" w:lineRule="auto"/>
              <w:jc w:val="center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 w:rsidRPr="00BB316C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Denominazione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48A4F57" w14:textId="77777777" w:rsidR="00787735" w:rsidRPr="00BB316C" w:rsidRDefault="00787735" w:rsidP="00A20205">
            <w:pPr>
              <w:spacing w:after="75" w:line="240" w:lineRule="auto"/>
              <w:jc w:val="center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 w:rsidRPr="00BB316C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Importo in</w:t>
            </w:r>
            <w:r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 xml:space="preserve"> euro</w:t>
            </w:r>
          </w:p>
        </w:tc>
      </w:tr>
      <w:tr w:rsidR="00787735" w:rsidRPr="00BB316C" w14:paraId="2188CFE7" w14:textId="77777777" w:rsidTr="00A20205">
        <w:trPr>
          <w:tblCellSpacing w:w="0" w:type="dxa"/>
        </w:trPr>
        <w:tc>
          <w:tcPr>
            <w:tcW w:w="1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BB1C79A" w14:textId="77777777" w:rsidR="00787735" w:rsidRPr="00BB316C" w:rsidRDefault="00787735" w:rsidP="00A20205">
            <w:pPr>
              <w:spacing w:after="75" w:line="240" w:lineRule="auto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 w:rsidRPr="00BB316C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E432574" w14:textId="77777777" w:rsidR="00787735" w:rsidRPr="00BB316C" w:rsidRDefault="00787735" w:rsidP="00A20205">
            <w:pPr>
              <w:spacing w:after="75" w:line="240" w:lineRule="auto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STRADA PL 187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5100AA0F" w14:textId="5482DB8A" w:rsidR="00787735" w:rsidRPr="00BB316C" w:rsidRDefault="005662AC" w:rsidP="00A20205">
            <w:pPr>
              <w:spacing w:after="75" w:line="240" w:lineRule="auto"/>
              <w:jc w:val="right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 w:rsidRPr="005662AC">
              <w:rPr>
                <w:rFonts w:ascii="Arial Narrow" w:eastAsia="Times New Roman" w:hAnsi="Arial Narrow" w:cs="Arial"/>
                <w:b/>
                <w:bCs/>
                <w:color w:val="333333"/>
                <w:lang w:eastAsia="hr-HR"/>
              </w:rPr>
              <w:t>53.000,00</w:t>
            </w:r>
          </w:p>
        </w:tc>
      </w:tr>
      <w:tr w:rsidR="00787735" w:rsidRPr="00BB316C" w14:paraId="200A3C07" w14:textId="77777777" w:rsidTr="00A20205">
        <w:trPr>
          <w:tblCellSpacing w:w="0" w:type="dxa"/>
        </w:trPr>
        <w:tc>
          <w:tcPr>
            <w:tcW w:w="1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189C8B37" w14:textId="77777777" w:rsidR="00787735" w:rsidRPr="00BB316C" w:rsidRDefault="00787735" w:rsidP="00A20205">
            <w:pPr>
              <w:spacing w:after="75" w:line="240" w:lineRule="auto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 w:rsidRPr="00BB316C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1.1.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8957C98" w14:textId="77777777" w:rsidR="00787735" w:rsidRPr="00BB316C" w:rsidRDefault="00787735" w:rsidP="00A20205">
            <w:pPr>
              <w:spacing w:after="75" w:line="240" w:lineRule="auto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49.255,18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29D9B53A" w14:textId="025F061A" w:rsidR="00787735" w:rsidRPr="00BB316C" w:rsidRDefault="005662AC" w:rsidP="00A20205">
            <w:pPr>
              <w:spacing w:after="75" w:line="240" w:lineRule="auto"/>
              <w:jc w:val="right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 w:rsidRPr="005662AC">
              <w:rPr>
                <w:rFonts w:ascii="Arial Narrow" w:eastAsia="Times New Roman" w:hAnsi="Arial Narrow" w:cs="Arial"/>
                <w:color w:val="000000"/>
                <w:lang w:eastAsia="hr-HR"/>
              </w:rPr>
              <w:t>53.000,00</w:t>
            </w:r>
          </w:p>
        </w:tc>
      </w:tr>
      <w:tr w:rsidR="00787735" w:rsidRPr="00BB316C" w14:paraId="4387542A" w14:textId="77777777" w:rsidTr="00A2020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blCellSpacing w:w="0" w:type="dxa"/>
        </w:trPr>
        <w:tc>
          <w:tcPr>
            <w:tcW w:w="6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14:paraId="43AD96BC" w14:textId="77777777" w:rsidR="00787735" w:rsidRPr="00BB316C" w:rsidRDefault="00787735" w:rsidP="00A20205">
            <w:pPr>
              <w:spacing w:after="75" w:line="240" w:lineRule="auto"/>
              <w:rPr>
                <w:rFonts w:ascii="Arial Narrow" w:eastAsia="Times New Roman" w:hAnsi="Arial Narrow" w:cs="Arial"/>
                <w:color w:val="333333"/>
                <w:lang w:val="it-IT" w:eastAsia="hr-HR"/>
              </w:rPr>
            </w:pPr>
            <w:r w:rsidRPr="00BB316C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Subtotale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57C7AFE" w14:textId="29DBF769" w:rsidR="00787735" w:rsidRPr="00BB316C" w:rsidRDefault="005662AC" w:rsidP="00A20205">
            <w:pPr>
              <w:spacing w:after="75" w:line="240" w:lineRule="auto"/>
              <w:jc w:val="right"/>
              <w:rPr>
                <w:rFonts w:ascii="Arial Narrow" w:eastAsia="Times New Roman" w:hAnsi="Arial Narrow" w:cs="Arial"/>
                <w:b/>
                <w:color w:val="333333"/>
                <w:lang w:val="it-IT" w:eastAsia="hr-HR"/>
              </w:rPr>
            </w:pPr>
            <w:r w:rsidRPr="005662AC">
              <w:rPr>
                <w:rFonts w:ascii="Arial Narrow" w:eastAsia="Times New Roman" w:hAnsi="Arial Narrow" w:cs="Arial"/>
                <w:b/>
                <w:color w:val="333333"/>
                <w:lang w:eastAsia="hr-HR"/>
              </w:rPr>
              <w:t>53.000,00</w:t>
            </w:r>
          </w:p>
        </w:tc>
      </w:tr>
      <w:tr w:rsidR="00787735" w:rsidRPr="00BB316C" w14:paraId="595FA141" w14:textId="77777777" w:rsidTr="00A20205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blCellSpacing w:w="0" w:type="dxa"/>
        </w:trPr>
        <w:tc>
          <w:tcPr>
            <w:tcW w:w="6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9B4ACB2" w14:textId="77777777" w:rsidR="00787735" w:rsidRPr="00BB316C" w:rsidRDefault="00787735" w:rsidP="00A20205">
            <w:pPr>
              <w:spacing w:after="75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</w:pPr>
            <w:r w:rsidRPr="00BB316C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Subtotale fonte di finanziamento: contributo comunale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351EF8B" w14:textId="638422E9" w:rsidR="00787735" w:rsidRPr="00BB316C" w:rsidRDefault="005662AC" w:rsidP="00A20205">
            <w:pPr>
              <w:spacing w:after="75" w:line="240" w:lineRule="auto"/>
              <w:jc w:val="right"/>
              <w:rPr>
                <w:rFonts w:ascii="Arial Narrow" w:eastAsia="Times New Roman" w:hAnsi="Arial Narrow" w:cs="Arial"/>
                <w:b/>
                <w:color w:val="333333"/>
                <w:lang w:val="it-IT" w:eastAsia="hr-HR"/>
              </w:rPr>
            </w:pPr>
            <w:r w:rsidRPr="005662AC">
              <w:rPr>
                <w:rFonts w:ascii="Arial Narrow" w:eastAsia="Times New Roman" w:hAnsi="Arial Narrow" w:cs="Arial"/>
                <w:color w:val="333333"/>
                <w:lang w:eastAsia="hr-HR"/>
              </w:rPr>
              <w:t>53.000,00</w:t>
            </w:r>
          </w:p>
        </w:tc>
      </w:tr>
    </w:tbl>
    <w:p w14:paraId="44BA1AD2" w14:textId="77777777" w:rsidR="00787735" w:rsidRPr="00BB316C" w:rsidRDefault="00787735" w:rsidP="00787735">
      <w:pPr>
        <w:pStyle w:val="Tijeloteksta"/>
        <w:rPr>
          <w:rFonts w:ascii="Arial Narrow" w:hAnsi="Arial Narrow" w:cs="Arial"/>
          <w:szCs w:val="22"/>
          <w:lang w:val="it-IT"/>
        </w:rPr>
      </w:pPr>
    </w:p>
    <w:p w14:paraId="109D4790" w14:textId="25ADE64E" w:rsidR="00F61562" w:rsidRDefault="00000000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Articolo 3</w:t>
      </w:r>
    </w:p>
    <w:p w14:paraId="7CCF21D8" w14:textId="77777777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>L’articolo 3 è così modificato:</w:t>
      </w:r>
    </w:p>
    <w:p w14:paraId="31526710" w14:textId="69C6EACB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 xml:space="preserve">La costruzione degli edifici delle infrastrutture comunali, che saranno realizzati nelle parti regolamentate dell'area edificabile per un importo totale di 286.026,84 euro, sarà finanziata dal contributo comunale per l'importo </w:t>
      </w:r>
      <w:r w:rsidR="005662AC" w:rsidRPr="005662AC">
        <w:rPr>
          <w:rFonts w:ascii="Arial Narrow" w:eastAsia="Arial Narrow" w:hAnsi="Arial Narrow" w:cs="Arial Narrow"/>
          <w:color w:val="000000"/>
        </w:rPr>
        <w:t>286.460,</w:t>
      </w:r>
      <w:proofErr w:type="gramStart"/>
      <w:r w:rsidR="005662AC" w:rsidRPr="005662AC">
        <w:rPr>
          <w:rFonts w:ascii="Arial Narrow" w:eastAsia="Arial Narrow" w:hAnsi="Arial Narrow" w:cs="Arial Narrow"/>
          <w:color w:val="000000"/>
        </w:rPr>
        <w:t xml:space="preserve">39 </w:t>
      </w:r>
      <w:r w:rsidR="005662AC">
        <w:rPr>
          <w:rFonts w:ascii="Arial Narrow" w:eastAsia="Arial Narrow" w:hAnsi="Arial Narrow" w:cs="Arial Narrow"/>
          <w:color w:val="000000"/>
        </w:rPr>
        <w:t xml:space="preserve"> </w:t>
      </w:r>
      <w:r w:rsidR="00787735">
        <w:rPr>
          <w:rFonts w:ascii="Arial Narrow" w:eastAsia="Arial Narrow" w:hAnsi="Arial Narrow" w:cs="Arial Narrow"/>
          <w:color w:val="000000"/>
        </w:rPr>
        <w:t>e</w:t>
      </w:r>
      <w:proofErr w:type="gramEnd"/>
      <w:r w:rsidR="00787735">
        <w:rPr>
          <w:rFonts w:ascii="Arial Narrow" w:eastAsia="Arial Narrow" w:hAnsi="Arial Narrow" w:cs="Arial Narrow"/>
          <w:color w:val="000000"/>
        </w:rPr>
        <w:t xml:space="preserve"> da</w:t>
      </w:r>
      <w:r>
        <w:rPr>
          <w:rFonts w:ascii="Arial Narrow" w:eastAsia="Arial Narrow" w:hAnsi="Arial Narrow" w:cs="Arial Narrow"/>
          <w:color w:val="000000"/>
        </w:rPr>
        <w:t xml:space="preserve">l bilancio </w:t>
      </w:r>
      <w:r w:rsidR="00787735">
        <w:rPr>
          <w:rFonts w:ascii="Arial Narrow" w:eastAsia="Arial Narrow" w:hAnsi="Arial Narrow" w:cs="Arial Narrow"/>
          <w:color w:val="000000"/>
        </w:rPr>
        <w:t xml:space="preserve">della Città </w:t>
      </w:r>
      <w:r>
        <w:rPr>
          <w:rFonts w:ascii="Arial Narrow" w:eastAsia="Arial Narrow" w:hAnsi="Arial Narrow" w:cs="Arial Narrow"/>
          <w:color w:val="000000"/>
        </w:rPr>
        <w:t>per il seguente importo:</w:t>
      </w:r>
    </w:p>
    <w:p w14:paraId="41489393" w14:textId="77777777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 Strade non classificate</w:t>
      </w:r>
    </w:p>
    <w:p w14:paraId="1C97A4D7" w14:textId="6A34F4E2" w:rsidR="00787735" w:rsidRDefault="00787735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49A6C33" w14:textId="77777777" w:rsidR="00787735" w:rsidRPr="00787735" w:rsidRDefault="00787735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0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5000"/>
        <w:gridCol w:w="2541"/>
        <w:gridCol w:w="10"/>
      </w:tblGrid>
      <w:tr w:rsidR="00F61562" w14:paraId="002DB464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852422D" w14:textId="68DBC4D0" w:rsidR="00F61562" w:rsidRDefault="0078773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N.pr.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6C16EAC" w14:textId="2F63A0EF" w:rsidR="00F61562" w:rsidRDefault="0078773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Denominazione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5BF8A68" w14:textId="77777777" w:rsidR="00F61562" w:rsidRDefault="00000000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Importo in euro</w:t>
            </w:r>
          </w:p>
        </w:tc>
      </w:tr>
      <w:tr w:rsidR="00F61562" w14:paraId="0C2A8D06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46E166C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E5F32FC" w14:textId="3B2C6BCC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MARCIAPIEDE E INFRASTRUTTURA</w:t>
            </w:r>
            <w:r w:rsidR="00787735">
              <w:rPr>
                <w:rFonts w:ascii="Arial Narrow" w:eastAsia="Arial Narrow" w:hAnsi="Arial Narrow" w:cs="Arial Narrow"/>
                <w:b/>
                <w:color w:val="000000"/>
              </w:rPr>
              <w:t xml:space="preserve"> ACQUE METEORICHE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VIDAL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533B819" w14:textId="2C2B68E0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b/>
                <w:color w:val="000000"/>
              </w:rPr>
              <w:t>105.000,00</w:t>
            </w:r>
          </w:p>
        </w:tc>
      </w:tr>
      <w:tr w:rsidR="00F61562" w14:paraId="0B84EEBF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770CEE8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DBE8F2C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2874C40" w14:textId="1EE98FC6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color w:val="000000"/>
              </w:rPr>
              <w:t>105.000,00</w:t>
            </w:r>
          </w:p>
        </w:tc>
      </w:tr>
      <w:tr w:rsidR="00F61562" w14:paraId="6A238708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5C7D168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DB94936" w14:textId="3CCDC243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STRADA E INFRASTRUTTURE </w:t>
            </w:r>
            <w:r w:rsidR="00AF5755">
              <w:rPr>
                <w:rFonts w:ascii="Arial Narrow" w:eastAsia="Arial Narrow" w:hAnsi="Arial Narrow" w:cs="Arial Narrow"/>
                <w:b/>
                <w:color w:val="000000"/>
              </w:rPr>
              <w:t>S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AINI NORD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83A92EE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60.000,00</w:t>
            </w:r>
          </w:p>
        </w:tc>
      </w:tr>
      <w:tr w:rsidR="00F61562" w14:paraId="3ACADBC5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0001E30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F9300F0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597C76F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60.000,00</w:t>
            </w:r>
          </w:p>
        </w:tc>
      </w:tr>
      <w:tr w:rsidR="00F61562" w14:paraId="1254172F" w14:textId="77777777">
        <w:trPr>
          <w:gridAfter w:val="1"/>
          <w:wAfter w:w="10" w:type="dxa"/>
        </w:trPr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35DE45E" w14:textId="64E0728D" w:rsidR="00F61562" w:rsidRDefault="00AF5755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Subtotale</w:t>
            </w:r>
          </w:p>
        </w:tc>
        <w:tc>
          <w:tcPr>
            <w:tcW w:w="254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40EAEC9" w14:textId="1FCAB90E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333333"/>
              </w:rPr>
              <w:t>165.000,00</w:t>
            </w:r>
          </w:p>
        </w:tc>
      </w:tr>
      <w:tr w:rsidR="00F61562" w14:paraId="538F05D2" w14:textId="77777777">
        <w:trPr>
          <w:gridAfter w:val="1"/>
          <w:wAfter w:w="10" w:type="dxa"/>
        </w:trPr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F0A2876" w14:textId="7E3B9698" w:rsidR="00F61562" w:rsidRDefault="00AF575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contributo comunale</w:t>
            </w:r>
          </w:p>
        </w:tc>
        <w:tc>
          <w:tcPr>
            <w:tcW w:w="254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3BF0E2A" w14:textId="506F92E0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165.000,00</w:t>
            </w:r>
          </w:p>
        </w:tc>
      </w:tr>
    </w:tbl>
    <w:p w14:paraId="30DF3BB5" w14:textId="77777777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>2. Illuminazione pubblica</w:t>
      </w:r>
    </w:p>
    <w:tbl>
      <w:tblPr>
        <w:tblStyle w:val="a0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5000"/>
        <w:gridCol w:w="2551"/>
      </w:tblGrid>
      <w:tr w:rsidR="00AF5755" w14:paraId="2EBDE038" w14:textId="77777777" w:rsidTr="00A20205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3344C5D" w14:textId="77777777" w:rsidR="00AF5755" w:rsidRDefault="00AF5755" w:rsidP="00A2020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N.pr.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86267DF" w14:textId="77777777" w:rsidR="00AF5755" w:rsidRDefault="00AF5755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Denominazione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237B8EC" w14:textId="77777777" w:rsidR="00AF5755" w:rsidRDefault="00AF5755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Importo in euro</w:t>
            </w:r>
          </w:p>
        </w:tc>
      </w:tr>
    </w:tbl>
    <w:tbl>
      <w:tblPr>
        <w:tblStyle w:val="a1"/>
        <w:tblW w:w="920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4990"/>
        <w:gridCol w:w="10"/>
        <w:gridCol w:w="2531"/>
      </w:tblGrid>
      <w:tr w:rsidR="00F61562" w14:paraId="24E964C7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C75D9C2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1.</w:t>
            </w:r>
          </w:p>
        </w:tc>
        <w:tc>
          <w:tcPr>
            <w:tcW w:w="5000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02FC956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ILLUMINAZIONE PUBBLICA GENERALE</w:t>
            </w:r>
          </w:p>
        </w:tc>
        <w:tc>
          <w:tcPr>
            <w:tcW w:w="253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44BA443" w14:textId="6FB4C4CA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27.000,00</w:t>
            </w:r>
          </w:p>
        </w:tc>
      </w:tr>
      <w:tr w:rsidR="00F61562" w14:paraId="638C309D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8CBDE44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1.1.</w:t>
            </w:r>
          </w:p>
        </w:tc>
        <w:tc>
          <w:tcPr>
            <w:tcW w:w="5000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01AA47B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3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924CAFE" w14:textId="5455680C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27.000,00</w:t>
            </w:r>
          </w:p>
        </w:tc>
      </w:tr>
      <w:tr w:rsidR="00F61562" w14:paraId="22095CF4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431D5AC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</w:t>
            </w:r>
          </w:p>
        </w:tc>
        <w:tc>
          <w:tcPr>
            <w:tcW w:w="5000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6DEEAC5" w14:textId="223B9250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ILLUMINAZIONE PUBBLICA - PARCO GIOCHI </w:t>
            </w:r>
            <w:r w:rsidR="00AF5755">
              <w:rPr>
                <w:rFonts w:ascii="Arial Narrow" w:eastAsia="Arial Narrow" w:hAnsi="Arial Narrow" w:cs="Arial Narrow"/>
                <w:b/>
                <w:color w:val="000000"/>
              </w:rPr>
              <w:t>CARPIGNANO</w:t>
            </w:r>
          </w:p>
        </w:tc>
        <w:tc>
          <w:tcPr>
            <w:tcW w:w="253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0E165C0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7566AADB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C3FCD30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</w:t>
            </w:r>
          </w:p>
        </w:tc>
        <w:tc>
          <w:tcPr>
            <w:tcW w:w="5000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6AF8E65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3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7F67801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218E41CB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EB5945B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</w:t>
            </w:r>
          </w:p>
        </w:tc>
        <w:tc>
          <w:tcPr>
            <w:tcW w:w="5000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709708E" w14:textId="1738A39D" w:rsidR="00F61562" w:rsidRDefault="00AF5755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SISTEMAZIONE MAREDA</w:t>
            </w:r>
          </w:p>
        </w:tc>
        <w:tc>
          <w:tcPr>
            <w:tcW w:w="253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02FB70C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6.636,00</w:t>
            </w:r>
          </w:p>
        </w:tc>
      </w:tr>
      <w:tr w:rsidR="00F61562" w14:paraId="7FE6E3D8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97EDAF1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</w:t>
            </w:r>
          </w:p>
        </w:tc>
        <w:tc>
          <w:tcPr>
            <w:tcW w:w="5000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2A2335B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3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39901CC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6.636,00</w:t>
            </w:r>
          </w:p>
        </w:tc>
      </w:tr>
      <w:tr w:rsidR="00F61562" w14:paraId="46FD5903" w14:textId="77777777">
        <w:tc>
          <w:tcPr>
            <w:tcW w:w="6661" w:type="dxa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7BFD585" w14:textId="00B79BD5" w:rsidR="00F61562" w:rsidRDefault="00AF575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Subtotale</w:t>
            </w:r>
          </w:p>
        </w:tc>
        <w:tc>
          <w:tcPr>
            <w:tcW w:w="2541" w:type="dxa"/>
            <w:gridSpan w:val="2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56F397D" w14:textId="6DE348A0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b/>
                <w:color w:val="333333"/>
              </w:rPr>
              <w:t>33.636,00</w:t>
            </w:r>
          </w:p>
        </w:tc>
      </w:tr>
      <w:tr w:rsidR="00F61562" w14:paraId="579B66CC" w14:textId="77777777">
        <w:tc>
          <w:tcPr>
            <w:tcW w:w="666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04C9173" w14:textId="3A7412C1" w:rsidR="00F61562" w:rsidRDefault="00AF575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contributo comunale</w:t>
            </w:r>
          </w:p>
        </w:tc>
        <w:tc>
          <w:tcPr>
            <w:tcW w:w="254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4749596" w14:textId="3AE37CEF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color w:val="333333"/>
              </w:rPr>
              <w:t>33.636,00</w:t>
            </w:r>
          </w:p>
        </w:tc>
      </w:tr>
    </w:tbl>
    <w:p w14:paraId="300B20B2" w14:textId="77777777" w:rsidR="00AF5755" w:rsidRDefault="00AF5755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7FC37701" w14:textId="1200495D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>3. Aree di traffico pubblico in cui non sono ammessi veicoli a motore</w:t>
      </w:r>
    </w:p>
    <w:tbl>
      <w:tblPr>
        <w:tblStyle w:val="a0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5000"/>
        <w:gridCol w:w="2551"/>
      </w:tblGrid>
      <w:tr w:rsidR="00AF5755" w14:paraId="75E2195F" w14:textId="77777777" w:rsidTr="00A20205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D3F9731" w14:textId="77777777" w:rsidR="00AF5755" w:rsidRDefault="00AF5755" w:rsidP="00A2020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N.pr.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B97EEAA" w14:textId="77777777" w:rsidR="00AF5755" w:rsidRDefault="00AF5755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Denominazione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EABF4FC" w14:textId="77777777" w:rsidR="00AF5755" w:rsidRDefault="00AF5755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Importo in euro</w:t>
            </w:r>
          </w:p>
        </w:tc>
      </w:tr>
    </w:tbl>
    <w:tbl>
      <w:tblPr>
        <w:tblStyle w:val="a2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5000"/>
        <w:gridCol w:w="2551"/>
      </w:tblGrid>
      <w:tr w:rsidR="00F61562" w14:paraId="7172E801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106C2CF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B6C5B95" w14:textId="43625633" w:rsidR="00F61562" w:rsidRDefault="00AF575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SISTEMAZIONE SPIAGGIA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70261E9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13.272,00</w:t>
            </w:r>
          </w:p>
        </w:tc>
      </w:tr>
      <w:tr w:rsidR="00F61562" w14:paraId="44B35F79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03B6FB0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1.1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338A068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E6E9E16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13.272,00</w:t>
            </w:r>
          </w:p>
        </w:tc>
      </w:tr>
      <w:tr w:rsidR="00F61562" w14:paraId="7D5A2025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062889D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F1FB8D7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SISTEMAZIONE DEI PARCHI E DEI CAMPI DA GIOCO CITTADINI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F02E6BA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13.272,00</w:t>
            </w:r>
          </w:p>
        </w:tc>
      </w:tr>
      <w:tr w:rsidR="00F61562" w14:paraId="322B0511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5901C96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2.1.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4A5649D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8117E66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13.272,00</w:t>
            </w:r>
          </w:p>
        </w:tc>
      </w:tr>
      <w:tr w:rsidR="00F61562" w14:paraId="1C6CE766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76E3A3D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ABD0091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RISTRUTTURAZIONE DELLA SPIAGGIA CITTADINA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FCB7C50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24.100,00</w:t>
            </w:r>
          </w:p>
        </w:tc>
      </w:tr>
      <w:tr w:rsidR="00F61562" w14:paraId="2A96F86E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8F601D5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0B110B0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3D9EE48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24.100,00</w:t>
            </w:r>
          </w:p>
        </w:tc>
      </w:tr>
      <w:tr w:rsidR="00F61562" w14:paraId="3F101B71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CC5573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4.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9B0EA13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WC PUBBLICO PINETA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3109AD1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37.180,36</w:t>
            </w:r>
          </w:p>
        </w:tc>
      </w:tr>
      <w:tr w:rsidR="00F61562" w14:paraId="457C6359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7F99DE2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E2ACD27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B0D3A24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37.180,36</w:t>
            </w:r>
          </w:p>
        </w:tc>
      </w:tr>
      <w:tr w:rsidR="00F61562" w14:paraId="5C1C3087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FFC394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5.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A2F355D" w14:textId="53F09BCD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WC PUBBLICO </w:t>
            </w:r>
            <w:r w:rsidR="00AF5755">
              <w:rPr>
                <w:rFonts w:ascii="Arial Narrow" w:eastAsia="Arial Narrow" w:hAnsi="Arial Narrow" w:cs="Arial Narrow"/>
                <w:b/>
                <w:color w:val="000000"/>
              </w:rPr>
              <w:t>CARPIGNANO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01EE3F7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50876F68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07E94EB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5.1.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323C819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EC040EC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116D5F7E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6C9C22B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6.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52AE036" w14:textId="19FE228A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PARCO </w:t>
            </w:r>
            <w:r w:rsidR="00AF5755">
              <w:rPr>
                <w:rFonts w:ascii="Arial Narrow" w:eastAsia="Arial Narrow" w:hAnsi="Arial Narrow" w:cs="Arial Narrow"/>
                <w:b/>
                <w:color w:val="000000"/>
              </w:rPr>
              <w:t>PER CANI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8E8435F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5FAE27FC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BF51F4B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5BE54C3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1C6B8D9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0DE940CD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740CF81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6.2.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C65635A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Fonti di finanziamento: aiuti correnti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8A14537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47685639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867A894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7.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BBB00C5" w14:textId="21E4EE83" w:rsidR="00F61562" w:rsidRDefault="00AF5755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E44861">
              <w:rPr>
                <w:rFonts w:ascii="Arial Narrow" w:eastAsia="Times New Roman" w:hAnsi="Arial Narrow" w:cs="Arial"/>
                <w:b/>
                <w:bCs/>
                <w:color w:val="000000"/>
                <w:lang w:eastAsia="hr-HR"/>
              </w:rPr>
              <w:t>PUMP TRACK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0195896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7B3FDFCC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8C0997C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7.1.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FCCD62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0417C06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AF5755" w14:paraId="60A1D53A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C798B58" w14:textId="08F3AC6F" w:rsidR="00AF5755" w:rsidRDefault="00AF5755" w:rsidP="00AF575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Subtotale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DE3A0EF" w14:textId="77777777" w:rsidR="00AF5755" w:rsidRDefault="00AF5755" w:rsidP="00AF5755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333333"/>
              </w:rPr>
              <w:t>87.824,36</w:t>
            </w:r>
          </w:p>
        </w:tc>
      </w:tr>
      <w:tr w:rsidR="00AF5755" w14:paraId="72D12D82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B7DFB32" w14:textId="1229A6DA" w:rsidR="00AF5755" w:rsidRDefault="00AF5755" w:rsidP="00AF575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contributo comunale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B1A80EE" w14:textId="77777777" w:rsidR="00AF5755" w:rsidRDefault="00AF5755" w:rsidP="00AF5755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87.824,36</w:t>
            </w:r>
          </w:p>
        </w:tc>
      </w:tr>
    </w:tbl>
    <w:p w14:paraId="5DCBC897" w14:textId="77777777" w:rsidR="00F61562" w:rsidRDefault="00F61562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</w:p>
    <w:p w14:paraId="6DDB2624" w14:textId="6C41871C" w:rsidR="00F61562" w:rsidRDefault="00000000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Articolo 4</w:t>
      </w:r>
    </w:p>
    <w:p w14:paraId="0B531264" w14:textId="77777777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>L'articolo 4 è così modificato:</w:t>
      </w:r>
    </w:p>
    <w:p w14:paraId="0CF53B9B" w14:textId="40879FE2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Gli edifici delle infrastrutture comunali esistenti che saranno ricostruiti per un importo totale di </w:t>
      </w:r>
      <w:r w:rsidR="005662AC" w:rsidRPr="005662AC">
        <w:rPr>
          <w:rFonts w:ascii="Arial Narrow" w:eastAsia="Arial Narrow" w:hAnsi="Arial Narrow" w:cs="Arial Narrow"/>
          <w:color w:val="000000"/>
        </w:rPr>
        <w:t xml:space="preserve">1.475.756,00 </w:t>
      </w:r>
      <w:r>
        <w:rPr>
          <w:rFonts w:ascii="Arial Narrow" w:eastAsia="Arial Narrow" w:hAnsi="Arial Narrow" w:cs="Arial Narrow"/>
          <w:color w:val="000000"/>
        </w:rPr>
        <w:t xml:space="preserve">euro saranno finanziati dagli aiuti correnti, dal bilancio, dal contributo comunale, </w:t>
      </w:r>
      <w:r w:rsidR="006851FB">
        <w:rPr>
          <w:rFonts w:ascii="Arial Narrow" w:eastAsia="Arial Narrow" w:hAnsi="Arial Narrow" w:cs="Arial Narrow"/>
          <w:color w:val="000000"/>
        </w:rPr>
        <w:t xml:space="preserve">dall'indennità </w:t>
      </w:r>
      <w:r>
        <w:rPr>
          <w:rFonts w:ascii="Arial Narrow" w:eastAsia="Arial Narrow" w:hAnsi="Arial Narrow" w:cs="Arial Narrow"/>
          <w:color w:val="000000"/>
        </w:rPr>
        <w:t xml:space="preserve">comunale e dalle entrate </w:t>
      </w:r>
      <w:r w:rsidR="006851FB">
        <w:rPr>
          <w:rFonts w:ascii="Arial Narrow" w:eastAsia="Arial Narrow" w:hAnsi="Arial Narrow" w:cs="Arial Narrow"/>
          <w:color w:val="000000"/>
        </w:rPr>
        <w:t>con finalità specifiche</w:t>
      </w:r>
      <w:r>
        <w:rPr>
          <w:rFonts w:ascii="Arial Narrow" w:eastAsia="Arial Narrow" w:hAnsi="Arial Narrow" w:cs="Arial Narrow"/>
          <w:color w:val="000000"/>
        </w:rPr>
        <w:t>, come segue:</w:t>
      </w:r>
    </w:p>
    <w:p w14:paraId="36FC6268" w14:textId="77777777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>1. Strade non classificate</w:t>
      </w:r>
    </w:p>
    <w:tbl>
      <w:tblPr>
        <w:tblStyle w:val="a0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5250"/>
        <w:gridCol w:w="2551"/>
      </w:tblGrid>
      <w:tr w:rsidR="006851FB" w14:paraId="28B49E8F" w14:textId="77777777" w:rsidTr="00F25C34">
        <w:tc>
          <w:tcPr>
            <w:tcW w:w="142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4DE041E" w14:textId="77777777" w:rsidR="006851FB" w:rsidRDefault="006851FB" w:rsidP="00A2020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N.pr.</w:t>
            </w:r>
          </w:p>
        </w:tc>
        <w:tc>
          <w:tcPr>
            <w:tcW w:w="525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450A0AF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Denominazione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4310C60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Importo in euro</w:t>
            </w:r>
          </w:p>
        </w:tc>
      </w:tr>
    </w:tbl>
    <w:tbl>
      <w:tblPr>
        <w:tblStyle w:val="a3"/>
        <w:tblW w:w="923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5203"/>
        <w:gridCol w:w="2561"/>
      </w:tblGrid>
      <w:tr w:rsidR="00F61562" w14:paraId="2D2309AC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8B51111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55CB376" w14:textId="27891816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RICOSTRUZIONE </w:t>
            </w:r>
            <w:r w:rsidR="00F25C34">
              <w:rPr>
                <w:rFonts w:ascii="Arial Narrow" w:eastAsia="Arial Narrow" w:hAnsi="Arial Narrow" w:cs="Arial Narrow"/>
                <w:b/>
                <w:color w:val="000000"/>
              </w:rPr>
              <w:t>DEL CENTRO STORICO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E DELLE VIE CIRCOSTANTI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05D7A20" w14:textId="7C9A54E0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b/>
                <w:color w:val="000000"/>
              </w:rPr>
              <w:t>477.802,00</w:t>
            </w:r>
          </w:p>
        </w:tc>
      </w:tr>
      <w:tr w:rsidR="00F61562" w14:paraId="287DA685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436E27A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89B37BD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entrate per scopi speciali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5B62A33" w14:textId="6304C803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color w:val="000000"/>
              </w:rPr>
              <w:t>477.802,00</w:t>
            </w:r>
          </w:p>
        </w:tc>
      </w:tr>
      <w:tr w:rsidR="00F61562" w14:paraId="6361EF22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769F46F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6D34867" w14:textId="41A6EC8A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RICOSTRUZIONE DELLA STRADA CONTESA </w:t>
            </w:r>
            <w:r w:rsidR="00F25C34">
              <w:rPr>
                <w:rFonts w:ascii="Arial Narrow" w:eastAsia="Arial Narrow" w:hAnsi="Arial Narrow" w:cs="Arial Narrow"/>
                <w:b/>
                <w:color w:val="000000"/>
              </w:rPr>
              <w:t>I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FAS</w:t>
            </w:r>
            <w:r w:rsidR="00F25C34">
              <w:rPr>
                <w:rFonts w:ascii="Arial Narrow" w:eastAsia="Arial Narrow" w:hAnsi="Arial Narrow" w:cs="Arial Narrow"/>
                <w:b/>
                <w:color w:val="000000"/>
              </w:rPr>
              <w:t>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28D577B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400.000,00</w:t>
            </w:r>
          </w:p>
        </w:tc>
      </w:tr>
      <w:tr w:rsidR="00F61562" w14:paraId="6CEC5F4A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F1FE94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6463C23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F7DECA6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320.988,00</w:t>
            </w:r>
          </w:p>
        </w:tc>
      </w:tr>
      <w:tr w:rsidR="00F61562" w14:paraId="08AF7841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310828F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2.2.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B6D7858" w14:textId="2FF2585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Fonte di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finanziamento:</w:t>
            </w:r>
            <w:r w:rsidR="00F25C34">
              <w:rPr>
                <w:rFonts w:ascii="Arial Narrow" w:eastAsia="Arial Narrow" w:hAnsi="Arial Narrow" w:cs="Arial Narrow"/>
                <w:color w:val="000000"/>
              </w:rPr>
              <w:t>indennità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comunale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1AEC459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79.012,00</w:t>
            </w:r>
          </w:p>
        </w:tc>
      </w:tr>
      <w:tr w:rsidR="00F61562" w14:paraId="74B44182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EA51AFF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F098A1F" w14:textId="30C9F984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RICOSTRUZIONE </w:t>
            </w:r>
            <w:r w:rsidR="00F25C34">
              <w:rPr>
                <w:rFonts w:ascii="Arial Narrow" w:eastAsia="Arial Narrow" w:hAnsi="Arial Narrow" w:cs="Arial Narrow"/>
                <w:b/>
                <w:color w:val="000000"/>
              </w:rPr>
              <w:t>ROTATORIAQ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DC 75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C0486CE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096A75EB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2420CAA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AECB9EF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6A60068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7B491380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43A6D92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3.2.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08A5287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58CF2BD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35EB8670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D7E0358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4.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6532BC0" w14:textId="38142388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RICOSTRUZIONE PARCHEGGIO AMBU</w:t>
            </w:r>
            <w:r w:rsidR="00F25C34">
              <w:rPr>
                <w:rFonts w:ascii="Arial Narrow" w:eastAsia="Arial Narrow" w:hAnsi="Arial Narrow" w:cs="Arial Narrow"/>
                <w:b/>
                <w:color w:val="000000"/>
              </w:rPr>
              <w:t>LAGTORIO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FC223FD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46.000,00</w:t>
            </w:r>
          </w:p>
        </w:tc>
      </w:tr>
      <w:tr w:rsidR="00F61562" w14:paraId="25FA0303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7915540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D803492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A6D80FC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46.000,00</w:t>
            </w:r>
          </w:p>
        </w:tc>
      </w:tr>
      <w:tr w:rsidR="00F61562" w14:paraId="4EAFDF29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3525E2A" w14:textId="60EC8807" w:rsidR="00F61562" w:rsidRDefault="00F25C34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Subtotale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9F31D18" w14:textId="442A423E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b/>
                <w:color w:val="333333"/>
              </w:rPr>
              <w:t>923.802,00</w:t>
            </w:r>
          </w:p>
        </w:tc>
      </w:tr>
      <w:tr w:rsidR="00F61562" w14:paraId="35AE3BCB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C1116A1" w14:textId="1823833B" w:rsidR="00F61562" w:rsidRDefault="00F25C34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entrate per scopi speciali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69DFAE0" w14:textId="372A5E4F" w:rsidR="00F61562" w:rsidRDefault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 w:rsidRPr="005662AC">
              <w:rPr>
                <w:rFonts w:ascii="Arial Narrow" w:eastAsia="Arial Narrow" w:hAnsi="Arial Narrow" w:cs="Arial Narrow"/>
                <w:color w:val="333333"/>
              </w:rPr>
              <w:t>477.802,00</w:t>
            </w:r>
          </w:p>
        </w:tc>
      </w:tr>
      <w:tr w:rsidR="00F61562" w14:paraId="4C1271D2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8389B1B" w14:textId="40C006C5" w:rsidR="00F61562" w:rsidRDefault="00F25C34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contributo comunale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EA35C23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366.988,00</w:t>
            </w:r>
          </w:p>
        </w:tc>
      </w:tr>
      <w:tr w:rsidR="00F61562" w14:paraId="7A9C6FC1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AA56D96" w14:textId="2F83D853" w:rsidR="00F61562" w:rsidRDefault="00F25C34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Subtotale fonte di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finanziamento:indennità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comunale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76A0DB3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79.012,00</w:t>
            </w:r>
          </w:p>
        </w:tc>
      </w:tr>
      <w:tr w:rsidR="00F61562" w14:paraId="7C2403B3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E78363F" w14:textId="1DFE63D5" w:rsidR="00F61562" w:rsidRDefault="00F25C34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4C607BF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0,00</w:t>
            </w:r>
          </w:p>
        </w:tc>
      </w:tr>
    </w:tbl>
    <w:p w14:paraId="541F736B" w14:textId="77777777" w:rsidR="00F25C34" w:rsidRDefault="00F25C34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0CAED7A7" w14:textId="43489F98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>2. Aree di traffico pubblico in cui non sono ammessi veicoli a motore</w:t>
      </w:r>
    </w:p>
    <w:tbl>
      <w:tblPr>
        <w:tblStyle w:val="a0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5000"/>
        <w:gridCol w:w="2551"/>
      </w:tblGrid>
      <w:tr w:rsidR="006851FB" w14:paraId="24983BE2" w14:textId="77777777" w:rsidTr="00A20205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433AC11" w14:textId="77777777" w:rsidR="006851FB" w:rsidRDefault="006851FB" w:rsidP="00A2020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N.pr.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D5CD308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Denominazione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D189EFE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Importo in euro</w:t>
            </w:r>
          </w:p>
        </w:tc>
      </w:tr>
    </w:tbl>
    <w:tbl>
      <w:tblPr>
        <w:tblStyle w:val="a4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5000"/>
        <w:gridCol w:w="2551"/>
      </w:tblGrid>
      <w:tr w:rsidR="00F61562" w14:paraId="36C618D7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1F83F34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B9D6CE8" w14:textId="39E0F700" w:rsidR="00F61562" w:rsidRDefault="00F25C34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SISTEMAZIONE DELLA VIA VICINO ALL'HOTEL CITTAR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167D0E7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54.000,00</w:t>
            </w:r>
          </w:p>
        </w:tc>
      </w:tr>
      <w:tr w:rsidR="00F61562" w14:paraId="78EBD269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8B3D1BC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1.2.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5820D23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93ECA82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54.000,00</w:t>
            </w:r>
          </w:p>
        </w:tc>
      </w:tr>
      <w:tr w:rsidR="00F61562" w14:paraId="13A61627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9F409A6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222D063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RICOSTRUZIONE DEL PARCO IRMA BENČIĆ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CA150D0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333333"/>
              </w:rPr>
              <w:t>5.000,00</w:t>
            </w:r>
          </w:p>
        </w:tc>
      </w:tr>
      <w:tr w:rsidR="00F61562" w14:paraId="4830A27A" w14:textId="77777777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5ACA0CB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AA188A7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contributo comunale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20440A5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5.000,00</w:t>
            </w:r>
          </w:p>
        </w:tc>
      </w:tr>
      <w:tr w:rsidR="00F25C34" w14:paraId="58477916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CD6066E" w14:textId="2D763F18" w:rsidR="00F25C34" w:rsidRDefault="00F25C34" w:rsidP="00F25C34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Subtotale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9C150DA" w14:textId="77777777" w:rsidR="00F25C34" w:rsidRDefault="00F25C34" w:rsidP="00F25C34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333333"/>
              </w:rPr>
              <w:t>59.000,00</w:t>
            </w:r>
          </w:p>
        </w:tc>
      </w:tr>
      <w:tr w:rsidR="00F25C34" w14:paraId="703C5124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8FD1C2E" w14:textId="4559E307" w:rsidR="00F25C34" w:rsidRDefault="00F25C34" w:rsidP="00F25C34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aiuti correnti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12EECB9" w14:textId="77777777" w:rsidR="00F25C34" w:rsidRDefault="00F25C34" w:rsidP="00F25C34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59.000,00</w:t>
            </w:r>
          </w:p>
        </w:tc>
      </w:tr>
    </w:tbl>
    <w:p w14:paraId="2B3CF85F" w14:textId="77777777" w:rsidR="00F25C34" w:rsidRDefault="00F25C34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5501CD69" w14:textId="24675538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000000"/>
        </w:rPr>
        <w:t>3.</w:t>
      </w:r>
      <w:r>
        <w:t xml:space="preserve"> </w:t>
      </w:r>
      <w:r>
        <w:rPr>
          <w:rFonts w:ascii="Arial Narrow" w:eastAsia="Arial Narrow" w:hAnsi="Arial Narrow" w:cs="Arial Narrow"/>
          <w:color w:val="000000"/>
        </w:rPr>
        <w:t>Edifici e dispositivi per scopi pubblici</w:t>
      </w:r>
    </w:p>
    <w:tbl>
      <w:tblPr>
        <w:tblStyle w:val="a0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5000"/>
        <w:gridCol w:w="2551"/>
      </w:tblGrid>
      <w:tr w:rsidR="006851FB" w14:paraId="15691B9E" w14:textId="77777777" w:rsidTr="00A20205">
        <w:tc>
          <w:tcPr>
            <w:tcW w:w="167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F3E1D1F" w14:textId="77777777" w:rsidR="006851FB" w:rsidRDefault="006851FB" w:rsidP="00A2020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N.pr.</w:t>
            </w:r>
          </w:p>
        </w:tc>
        <w:tc>
          <w:tcPr>
            <w:tcW w:w="500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CF02E2B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Denominazione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527DD7E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Importo in euro</w:t>
            </w:r>
          </w:p>
        </w:tc>
      </w:tr>
    </w:tbl>
    <w:tbl>
      <w:tblPr>
        <w:tblStyle w:val="a5"/>
        <w:tblW w:w="923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5203"/>
        <w:gridCol w:w="2561"/>
      </w:tblGrid>
      <w:tr w:rsidR="00F61562" w14:paraId="110E6ADA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97184B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2FE473C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RICOSTRUZIONE DELLA STAZIONE DEGLI AUTOBUS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FFFBD4F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3474449A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125D6ED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1.1.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3B348F8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bilancio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0032A23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5662AC" w14:paraId="166ADF84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B789126" w14:textId="77777777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B654A68" w14:textId="77777777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RICOSTRUZIONE DELLO SPAZIO ESPOSITIVO - GALERION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7E424F6" w14:textId="33CC0E42" w:rsidR="005662AC" w:rsidRDefault="005662AC" w:rsidP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lang w:eastAsia="hr-HR"/>
              </w:rPr>
              <w:t>490.039,00</w:t>
            </w:r>
          </w:p>
        </w:tc>
      </w:tr>
      <w:tr w:rsidR="005662AC" w14:paraId="62AA84F7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D0D7EE2" w14:textId="77777777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9C952DC" w14:textId="77777777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B7C8296" w14:textId="1563121A" w:rsidR="005662AC" w:rsidRDefault="005662AC" w:rsidP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224.593,00</w:t>
            </w:r>
          </w:p>
        </w:tc>
      </w:tr>
      <w:tr w:rsidR="005662AC" w14:paraId="7D6D8BF7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2BBD4B7" w14:textId="77777777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2.2.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ADC5A48" w14:textId="77777777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bilancio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28041EA" w14:textId="451C7AEC" w:rsidR="005662AC" w:rsidRDefault="005662AC" w:rsidP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265.446,00</w:t>
            </w:r>
          </w:p>
        </w:tc>
      </w:tr>
      <w:tr w:rsidR="00F61562" w14:paraId="32E014FD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E9F7A63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3.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7272B50" w14:textId="6BA57468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AMPLIAMENTO DELL</w:t>
            </w:r>
            <w:r w:rsidR="00110B0E">
              <w:rPr>
                <w:rFonts w:ascii="Arial Narrow" w:eastAsia="Arial Narrow" w:hAnsi="Arial Narrow" w:cs="Arial Narrow"/>
                <w:b/>
                <w:color w:val="000000"/>
              </w:rPr>
              <w:t>A SCUOLA MATERNA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4B585F0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420E8535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9920EB7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34B7665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bilancio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109DA75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2800E202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2191FC4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3.2.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8E4700D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EAB985C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47AAFC9B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4EB1F5F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4.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B1F65A4" w14:textId="4EAEC28D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SENTIERO DIDATTICO FORESTALE - </w:t>
            </w:r>
            <w:r w:rsidR="00110B0E">
              <w:rPr>
                <w:rFonts w:ascii="Arial Narrow" w:eastAsia="Arial Narrow" w:hAnsi="Arial Narrow" w:cs="Arial Narrow"/>
                <w:b/>
                <w:color w:val="000000"/>
              </w:rPr>
              <w:t>FOCE QUIETO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E8B0E28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2.915,00</w:t>
            </w:r>
          </w:p>
        </w:tc>
      </w:tr>
      <w:tr w:rsidR="00F61562" w14:paraId="3788FB5E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5A9AB9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9296FB0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bilancio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5AEA1FC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2.915,00</w:t>
            </w:r>
          </w:p>
        </w:tc>
      </w:tr>
      <w:tr w:rsidR="00F61562" w14:paraId="2EA463C2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D200F2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4.2.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1F31CDE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6A76397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5662AC" w14:paraId="607A3E6F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393E363" w14:textId="4E436CFB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Subtotale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B874BF9" w14:textId="0875A627" w:rsidR="005662AC" w:rsidRDefault="005662AC" w:rsidP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Times New Roman" w:hAnsi="Arial Narrow" w:cs="Arial"/>
                <w:b/>
                <w:color w:val="333333"/>
                <w:lang w:eastAsia="hr-HR"/>
              </w:rPr>
              <w:t>492.954,00</w:t>
            </w:r>
          </w:p>
        </w:tc>
      </w:tr>
      <w:tr w:rsidR="005662AC" w14:paraId="55F5761A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CBA2441" w14:textId="043FCF38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C0DBC17" w14:textId="0AA269EE" w:rsidR="005662AC" w:rsidRDefault="005662AC" w:rsidP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 w:rsidRPr="004B151D">
              <w:rPr>
                <w:rFonts w:ascii="Arial Narrow" w:eastAsia="Times New Roman" w:hAnsi="Arial Narrow" w:cs="Arial"/>
                <w:color w:val="333333"/>
                <w:lang w:eastAsia="hr-HR"/>
              </w:rPr>
              <w:t>224.593,00</w:t>
            </w:r>
          </w:p>
        </w:tc>
      </w:tr>
      <w:tr w:rsidR="005662AC" w14:paraId="4F73B851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4C0A2AE" w14:textId="0D4B644A" w:rsidR="005662AC" w:rsidRDefault="005662AC" w:rsidP="005662AC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bilancio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D2DC1E2" w14:textId="4001D539" w:rsidR="005662AC" w:rsidRDefault="005662AC" w:rsidP="005662AC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Times New Roman" w:hAnsi="Arial Narrow" w:cs="Arial"/>
                <w:color w:val="333333"/>
                <w:lang w:eastAsia="hr-HR"/>
              </w:rPr>
              <w:t>268.361,00</w:t>
            </w:r>
          </w:p>
        </w:tc>
      </w:tr>
    </w:tbl>
    <w:p w14:paraId="2572E4A1" w14:textId="77777777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4. Cimiteri</w:t>
      </w:r>
    </w:p>
    <w:tbl>
      <w:tblPr>
        <w:tblStyle w:val="a0"/>
        <w:tblW w:w="922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5250"/>
        <w:gridCol w:w="2551"/>
      </w:tblGrid>
      <w:tr w:rsidR="006851FB" w14:paraId="5C3B4D2C" w14:textId="77777777" w:rsidTr="00980DD5">
        <w:tc>
          <w:tcPr>
            <w:tcW w:w="142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CEBB042" w14:textId="77777777" w:rsidR="006851FB" w:rsidRDefault="006851FB" w:rsidP="00A2020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N.pr.</w:t>
            </w:r>
          </w:p>
        </w:tc>
        <w:tc>
          <w:tcPr>
            <w:tcW w:w="5250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8D5A832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Denominazione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7A2664C" w14:textId="77777777" w:rsidR="006851FB" w:rsidRDefault="006851FB" w:rsidP="00A20205">
            <w:pPr>
              <w:spacing w:after="75" w:line="240" w:lineRule="auto"/>
              <w:jc w:val="center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Importo in euro</w:t>
            </w:r>
          </w:p>
        </w:tc>
      </w:tr>
    </w:tbl>
    <w:tbl>
      <w:tblPr>
        <w:tblStyle w:val="a6"/>
        <w:tblW w:w="9232" w:type="dxa"/>
        <w:tblInd w:w="-1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5203"/>
        <w:gridCol w:w="2561"/>
      </w:tblGrid>
      <w:tr w:rsidR="00F61562" w14:paraId="423C48BF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F64E8C8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D42FB8D" w14:textId="6F35CDC9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SISTEMAZIONE </w:t>
            </w:r>
            <w:r w:rsidR="00980DD5">
              <w:rPr>
                <w:rFonts w:ascii="Arial Narrow" w:eastAsia="Arial Narrow" w:hAnsi="Arial Narrow" w:cs="Arial Narrow"/>
                <w:b/>
                <w:color w:val="000000"/>
              </w:rPr>
              <w:t>DEI CIMITERI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DB92137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0,00</w:t>
            </w:r>
          </w:p>
        </w:tc>
      </w:tr>
      <w:tr w:rsidR="00F61562" w14:paraId="0468CEDC" w14:textId="77777777">
        <w:tc>
          <w:tcPr>
            <w:tcW w:w="1468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DBF9457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1.1.</w:t>
            </w:r>
          </w:p>
        </w:tc>
        <w:tc>
          <w:tcPr>
            <w:tcW w:w="5203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9AA95FC" w14:textId="77777777" w:rsidR="00F61562" w:rsidRDefault="00000000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048D039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0,00</w:t>
            </w:r>
          </w:p>
        </w:tc>
      </w:tr>
      <w:tr w:rsidR="00F61562" w14:paraId="11E12993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3D49195" w14:textId="32098B45" w:rsidR="00F61562" w:rsidRDefault="00980DD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Subtotale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CE1EA2A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b/>
                <w:color w:val="333333"/>
              </w:rPr>
            </w:pPr>
            <w:r>
              <w:rPr>
                <w:rFonts w:ascii="Arial Narrow" w:eastAsia="Arial Narrow" w:hAnsi="Arial Narrow" w:cs="Arial Narrow"/>
                <w:b/>
                <w:color w:val="333333"/>
              </w:rPr>
              <w:t>0,00</w:t>
            </w:r>
          </w:p>
        </w:tc>
      </w:tr>
      <w:tr w:rsidR="00F61562" w14:paraId="688FDDC7" w14:textId="77777777">
        <w:tc>
          <w:tcPr>
            <w:tcW w:w="6671" w:type="dxa"/>
            <w:gridSpan w:val="2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604977D" w14:textId="61040698" w:rsidR="00F61562" w:rsidRDefault="00980DD5">
            <w:pPr>
              <w:spacing w:after="75" w:line="240" w:lineRule="auto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Subtotale fonte di finanziamento: aiuti correnti</w:t>
            </w:r>
          </w:p>
        </w:tc>
        <w:tc>
          <w:tcPr>
            <w:tcW w:w="2561" w:type="dxa"/>
            <w:shd w:val="clear" w:color="auto" w:fill="auto"/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9345AE4" w14:textId="77777777" w:rsidR="00F61562" w:rsidRDefault="00000000">
            <w:pPr>
              <w:spacing w:after="75" w:line="240" w:lineRule="auto"/>
              <w:jc w:val="right"/>
              <w:rPr>
                <w:rFonts w:ascii="Arial Narrow" w:eastAsia="Arial Narrow" w:hAnsi="Arial Narrow" w:cs="Arial Narrow"/>
                <w:color w:val="333333"/>
              </w:rPr>
            </w:pPr>
            <w:r>
              <w:rPr>
                <w:rFonts w:ascii="Arial Narrow" w:eastAsia="Arial Narrow" w:hAnsi="Arial Narrow" w:cs="Arial Narrow"/>
                <w:color w:val="333333"/>
              </w:rPr>
              <w:t>0,00</w:t>
            </w:r>
          </w:p>
        </w:tc>
      </w:tr>
    </w:tbl>
    <w:p w14:paraId="723C0C5B" w14:textId="77777777" w:rsidR="00F61562" w:rsidRDefault="00F61562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04B302F0" w14:textId="727DE861" w:rsidR="00F61562" w:rsidRDefault="00000000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Articolo 5</w:t>
      </w:r>
    </w:p>
    <w:p w14:paraId="628458AC" w14:textId="77777777" w:rsidR="00F61562" w:rsidRDefault="00000000">
      <w:pPr>
        <w:shd w:val="clear" w:color="auto" w:fill="FFFFFF"/>
        <w:spacing w:after="75" w:line="240" w:lineRule="auto"/>
        <w:ind w:firstLine="708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Restano in vigore e invariati gli altri articoli del Programma di costruzione delle infrastrutture comunali per il 2023.</w:t>
      </w:r>
    </w:p>
    <w:p w14:paraId="28964FB1" w14:textId="140ECAC2" w:rsidR="00881A59" w:rsidRDefault="00000000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Articolo 6</w:t>
      </w:r>
    </w:p>
    <w:p w14:paraId="6EECE9D7" w14:textId="7E564268" w:rsidR="00F61562" w:rsidRDefault="00000000">
      <w:pPr>
        <w:shd w:val="clear" w:color="auto" w:fill="FFFFFF"/>
        <w:spacing w:after="75" w:line="240" w:lineRule="auto"/>
        <w:ind w:firstLine="708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Le modifiche e integrazioni al Programma saranno pubblicate sul “</w:t>
      </w:r>
      <w:r w:rsidR="00B61A74">
        <w:rPr>
          <w:rFonts w:ascii="Arial Narrow" w:eastAsia="Arial Narrow" w:hAnsi="Arial Narrow" w:cs="Arial Narrow"/>
          <w:color w:val="000000"/>
        </w:rPr>
        <w:t>Bollettino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="00B61A74">
        <w:rPr>
          <w:rFonts w:ascii="Arial Narrow" w:eastAsia="Arial Narrow" w:hAnsi="Arial Narrow" w:cs="Arial Narrow"/>
          <w:color w:val="000000"/>
        </w:rPr>
        <w:t>u</w:t>
      </w:r>
      <w:r>
        <w:rPr>
          <w:rFonts w:ascii="Arial Narrow" w:eastAsia="Arial Narrow" w:hAnsi="Arial Narrow" w:cs="Arial Narrow"/>
          <w:color w:val="000000"/>
        </w:rPr>
        <w:t>fficiale della Città di Novigrad-Cittanova”, ed entreranno in vigore 8 (otto) giorni dalla data di adozione.</w:t>
      </w:r>
    </w:p>
    <w:p w14:paraId="793734A6" w14:textId="77777777" w:rsidR="006851FB" w:rsidRDefault="006851FB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1D3E27B" w14:textId="6A0C6979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>CLASSE: 363-02/22-01/</w:t>
      </w:r>
    </w:p>
    <w:p w14:paraId="08A44874" w14:textId="77777777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Numero identificativo: 2105/03-02-23-2</w:t>
      </w:r>
    </w:p>
    <w:p w14:paraId="217C2D5C" w14:textId="6CB91D64" w:rsidR="00F61562" w:rsidRDefault="00000000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Cittanova, </w:t>
      </w:r>
      <w:r w:rsidR="00B61A74">
        <w:rPr>
          <w:rFonts w:ascii="Arial Narrow" w:eastAsia="Arial Narrow" w:hAnsi="Arial Narrow" w:cs="Arial Narrow"/>
          <w:color w:val="000000"/>
        </w:rPr>
        <w:t>______d</w:t>
      </w:r>
      <w:r>
        <w:rPr>
          <w:rFonts w:ascii="Arial Narrow" w:eastAsia="Arial Narrow" w:hAnsi="Arial Narrow" w:cs="Arial Narrow"/>
          <w:color w:val="000000"/>
        </w:rPr>
        <w:t>icembre 2023</w:t>
      </w:r>
    </w:p>
    <w:p w14:paraId="33E4E423" w14:textId="77777777" w:rsidR="00F61562" w:rsidRDefault="00F61562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</w:p>
    <w:p w14:paraId="6F10D1A7" w14:textId="6FC0F260" w:rsidR="00F61562" w:rsidRDefault="00000000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CONSIGLIO </w:t>
      </w:r>
      <w:r w:rsidR="00B61A74">
        <w:rPr>
          <w:rFonts w:ascii="Arial Narrow" w:eastAsia="Arial Narrow" w:hAnsi="Arial Narrow" w:cs="Arial Narrow"/>
          <w:b/>
          <w:color w:val="000000"/>
        </w:rPr>
        <w:t>CITTADINO</w:t>
      </w:r>
      <w:r>
        <w:rPr>
          <w:rFonts w:ascii="Arial Narrow" w:eastAsia="Arial Narrow" w:hAnsi="Arial Narrow" w:cs="Arial Narrow"/>
          <w:b/>
          <w:color w:val="000000"/>
        </w:rPr>
        <w:t xml:space="preserve"> DELLA CITTÀ DI NOVIGRAD-CITTANOVA</w:t>
      </w:r>
    </w:p>
    <w:p w14:paraId="7347E3AF" w14:textId="21C84592" w:rsidR="00F61562" w:rsidRDefault="00000000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PRESIDENTE DEL CONSIGLIO </w:t>
      </w:r>
      <w:r w:rsidR="00B61A74">
        <w:rPr>
          <w:rFonts w:ascii="Arial Narrow" w:eastAsia="Arial Narrow" w:hAnsi="Arial Narrow" w:cs="Arial Narrow"/>
          <w:b/>
          <w:color w:val="000000"/>
        </w:rPr>
        <w:t>CITTADINO</w:t>
      </w:r>
    </w:p>
    <w:p w14:paraId="27F69FB2" w14:textId="77777777" w:rsidR="00F61562" w:rsidRDefault="00000000">
      <w:pPr>
        <w:shd w:val="clear" w:color="auto" w:fill="FFFFFF"/>
        <w:spacing w:after="75" w:line="240" w:lineRule="auto"/>
        <w:jc w:val="center"/>
        <w:rPr>
          <w:rFonts w:ascii="Arial Narrow" w:eastAsia="Arial Narrow" w:hAnsi="Arial Narrow" w:cs="Arial Narrow"/>
          <w:color w:val="333333"/>
        </w:rPr>
      </w:pPr>
      <w:r>
        <w:rPr>
          <w:rFonts w:ascii="Arial Narrow" w:eastAsia="Arial Narrow" w:hAnsi="Arial Narrow" w:cs="Arial Narrow"/>
          <w:color w:val="333333"/>
        </w:rPr>
        <w:t xml:space="preserve">Dijana Lipovac </w:t>
      </w:r>
      <w:proofErr w:type="spellStart"/>
      <w:r>
        <w:rPr>
          <w:rFonts w:ascii="Arial Narrow" w:eastAsia="Arial Narrow" w:hAnsi="Arial Narrow" w:cs="Arial Narrow"/>
          <w:color w:val="333333"/>
        </w:rPr>
        <w:t>Matić</w:t>
      </w:r>
      <w:proofErr w:type="spellEnd"/>
    </w:p>
    <w:p w14:paraId="3B593187" w14:textId="77777777" w:rsidR="00F61562" w:rsidRDefault="00F61562">
      <w:pPr>
        <w:shd w:val="clear" w:color="auto" w:fill="FFFFFF"/>
        <w:spacing w:after="75" w:line="240" w:lineRule="auto"/>
        <w:jc w:val="both"/>
        <w:rPr>
          <w:rFonts w:ascii="Arial Narrow" w:eastAsia="Arial Narrow" w:hAnsi="Arial Narrow" w:cs="Arial Narrow"/>
          <w:color w:val="333333"/>
        </w:rPr>
      </w:pPr>
    </w:p>
    <w:sectPr w:rsidR="00F61562">
      <w:pgSz w:w="11906" w:h="16838"/>
      <w:pgMar w:top="1417" w:right="1417" w:bottom="1417" w:left="141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74AD5"/>
    <w:multiLevelType w:val="hybridMultilevel"/>
    <w:tmpl w:val="47CA75C8"/>
    <w:lvl w:ilvl="0" w:tplc="7278FA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61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62"/>
    <w:rsid w:val="00110B0E"/>
    <w:rsid w:val="001747B6"/>
    <w:rsid w:val="005662AC"/>
    <w:rsid w:val="006851FB"/>
    <w:rsid w:val="00787735"/>
    <w:rsid w:val="00881A59"/>
    <w:rsid w:val="00980DD5"/>
    <w:rsid w:val="00AF5755"/>
    <w:rsid w:val="00B61A74"/>
    <w:rsid w:val="00F25C34"/>
    <w:rsid w:val="00F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323C"/>
  <w15:docId w15:val="{E82511BF-0B78-3645-9DF3-343B1F60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ijeloteksta">
    <w:name w:val="Body Text"/>
    <w:aliases w:val="uvlaka 3,uvlaka 2,Tijelo teksta1, uvlaka 31,Tijelo teksta11, uvlaka 311"/>
    <w:basedOn w:val="Normal"/>
    <w:link w:val="TijelotekstaChar"/>
    <w:rsid w:val="00787735"/>
    <w:pPr>
      <w:suppressAutoHyphens/>
      <w:spacing w:after="0" w:line="240" w:lineRule="auto"/>
    </w:pPr>
    <w:rPr>
      <w:rFonts w:ascii="Tahoma" w:eastAsia="Times New Roman" w:hAnsi="Tahoma" w:cs="Tahoma"/>
      <w:szCs w:val="24"/>
      <w:lang w:val="hr-HR" w:eastAsia="ar-SA"/>
    </w:rPr>
  </w:style>
  <w:style w:type="character" w:customStyle="1" w:styleId="TijelotekstaChar">
    <w:name w:val="Tijelo teksta Char"/>
    <w:aliases w:val="uvlaka 3 Char,uvlaka 2 Char,Tijelo teksta1 Char, uvlaka 31 Char,Tijelo teksta11 Char, uvlaka 311 Char"/>
    <w:basedOn w:val="Zadanifontodlomka"/>
    <w:link w:val="Tijeloteksta"/>
    <w:rsid w:val="00787735"/>
    <w:rPr>
      <w:rFonts w:ascii="Tahoma" w:eastAsia="Times New Roman" w:hAnsi="Tahoma" w:cs="Tahoma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gsinosini</dc:creator>
  <cp:lastModifiedBy>Gradsko vijeće</cp:lastModifiedBy>
  <cp:revision>2</cp:revision>
  <dcterms:created xsi:type="dcterms:W3CDTF">2023-12-07T14:48:00Z</dcterms:created>
  <dcterms:modified xsi:type="dcterms:W3CDTF">2023-12-07T14:48:00Z</dcterms:modified>
</cp:coreProperties>
</file>