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834d6563cd45f8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35425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GRAD NOVIGRAD - CITTA DI CITTANOVA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10.457.069,05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10.194.956,79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8.208.634,29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8.725.247,98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2.248.434,76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1.469.708,81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65,4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169.140,89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679.954,73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402,0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3.290.806,64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2.830.391,98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3.121.665,75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2.150.437,25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68,9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1.240.000,00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231.472,88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277.519,88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PRIMITAKA OD FINANCIJSKE IMOVINE I ZADUŽIVANJA (šifre 8-5)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962.480,12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281.751,68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 obračunskim kategorijama Grad je ostvario višak poslovanja u iznosu od 1.469.708,81, manjak prihoda od nefinancijske imovine u iznosu od 2.150.437,25, te višak od financijske imovine u iznosu od 962.480,12. </w:t>
      </w:r>
    </w:p>
    <w:p>
      <w:r>
        <w:t xml:space="preserve">U financijskom izvješću na 31.12.2025. Y005 prikazan je višak od 281.751,68€. Kad se pridoda manjak ostvaren u prethodnom razdoblju, dolazimo do ukupnog finacijskog rezultata od -477.679,57 €.  </w:t>
      </w:r>
    </w:p>
    <w:p>
      <w:r>
        <w:t xml:space="preserve">Stanje obveza krajem obračunskog razdoblja iznosi 3.594.351,27€ od čega je dospjelo 139.363,71€, a nedospjelo 3.454.987,56 €. Nedospjele obveze se sastoje od obveza za rashode poslovanja u iznosu od 354.085,76€, obveza za nabavu nefinancijske imovine u iznosu od 16.526,81€, obveza za kredite i zajmove u iznosu od 2.782.528,09€, te obveze za predujmove, jamčevne pologe i tuđe prihode u iznosu 223.179,40€.</w:t>
      </w:r>
      <w:r>
        <w:br/>
      </w:r>
      <w:r>
        <w:t xml:space="preserve">Dospjele obveze u iznosu od 139.363,71€ se dijelom odnose na obveze za rashode poslovanja (68.919,26€) čiji je period dospijeća od 1-60 dana. Ostale dospjele obveze u iznosu od 70.444,45€ se odnose na obveze za nabavu nefinancijske imovine čije je dospijeće dijelom u periodu od 1-60 dana, a dijelom u periodu od 61-180 dana.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Povremeni porezi na imovinu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975.647,72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1.307.770,24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134,0</w:t>
            </w:r>
          </w:p>
        </w:tc>
      </w:tr>
    </w:tbl>
    <w:p>
      <w:pPr>
        <w:spacing w:before="0" w:after="0"/>
      </w:pPr>
    </w:p>
    <w:p>
      <w:r>
        <w:t xml:space="preserve">Povećanje od 34% odnosi se na povećanje prodaje nekrentina, odnosno porez na promet nekretnina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586.689,35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147.138,02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25,1</w:t>
            </w:r>
          </w:p>
        </w:tc>
      </w:tr>
    </w:tbl>
    <w:p>
      <w:pPr>
        <w:spacing w:before="0" w:after="0"/>
      </w:pPr>
    </w:p>
    <w:p>
      <w:r>
        <w:t xml:space="preserve">Smanjenje u odnosu na prošlu godinu, je jer je završen kapital projekt. Te se u 2025. godini nije bilo prihoda za kapitalne pomoći.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99.545,05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165.271,94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166,0</w:t>
            </w:r>
          </w:p>
        </w:tc>
      </w:tr>
    </w:tbl>
    <w:p>
      <w:pPr>
        <w:spacing w:before="0" w:after="0"/>
      </w:pPr>
    </w:p>
    <w:p>
      <w:r>
        <w:t xml:space="preserve">Povećanje u odnosu na prethodnu godinu odnosi se na sudinanciranje dijela nogostupa i rasvjete što nam je povećalo prihode u odnosu na prethodnu godinu.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Kazne i upravne mjere (šifre 6811 do 6819)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24.050,10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34.053,05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141,6</w:t>
            </w:r>
          </w:p>
        </w:tc>
      </w:tr>
    </w:tbl>
    <w:p>
      <w:pPr>
        <w:spacing w:before="0" w:after="0"/>
      </w:pPr>
    </w:p>
    <w:p>
      <w:r>
        <w:t xml:space="preserve">Povećanje prihoda odnosi se na povećan izdan i naplaćen iznos kazni za gradski promet.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700.071,72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845.134,14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120,7</w:t>
            </w:r>
          </w:p>
        </w:tc>
      </w:tr>
    </w:tbl>
    <w:p>
      <w:pPr>
        <w:spacing w:before="0" w:after="0"/>
      </w:pPr>
    </w:p>
    <w:p>
      <w:r>
        <w:t xml:space="preserve">Povaćan iznos rashoda odnosi se na povećanje iznosa plaća, koji je bio u proljeću. Što je ujedno i rezultiralo i povećanje troškova za doprinose.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11.793,08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3636,0</w:t>
            </w:r>
          </w:p>
        </w:tc>
      </w:tr>
    </w:tbl>
    <w:p>
      <w:pPr>
        <w:spacing w:before="0" w:after="0"/>
      </w:pPr>
    </w:p>
    <w:p>
      <w:r>
        <w:t xml:space="preserve">Povećanje rashoda na sitnom inventaru je rezultiralo zbog prijavljenog projekta. Grad je prijavio DV za nabavku sitnog inventara i dugotrajne imovine za redovno poslovanje.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17.556,30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32.263,68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183,8</w:t>
            </w:r>
          </w:p>
        </w:tc>
      </w:tr>
    </w:tbl>
    <w:p>
      <w:pPr>
        <w:spacing w:before="0" w:after="0"/>
      </w:pPr>
    </w:p>
    <w:p>
      <w:r>
        <w:t xml:space="preserve">Povećanje rashoda odnosi se na policu zdravstvenog pregled djelatnika koji je ugovoren u 2025. godini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195.867,86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760.536,40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388,3</w:t>
            </w:r>
          </w:p>
        </w:tc>
      </w:tr>
    </w:tbl>
    <w:p>
      <w:pPr>
        <w:spacing w:before="0" w:after="0"/>
      </w:pPr>
    </w:p>
    <w:p>
      <w:r>
        <w:t xml:space="preserve">U 2025. godini imali smo okončana 3 parnična postupka koji su nam teretili proračun i uzrokovali povećanje rashoda poslovanja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Kamate za primljene kredite i zajmove od kreditnih i ostalih financijskih institucija izvan javnog sektora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16.961,27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49.902,53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294,2</w:t>
            </w:r>
          </w:p>
        </w:tc>
      </w:tr>
    </w:tbl>
    <w:p>
      <w:pPr>
        <w:spacing w:before="0" w:after="0"/>
      </w:pPr>
    </w:p>
    <w:p>
      <w:r>
        <w:t xml:space="preserve">U 2025. godini realizirana su dva nova kreditna zaduženja, te je iznos za kamate na primljene kredite uvećan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drugom proračunu i izvanproračunskim korisnicima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864,40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6.834,64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790,7</w:t>
            </w:r>
          </w:p>
        </w:tc>
      </w:tr>
    </w:tbl>
    <w:p>
      <w:pPr>
        <w:spacing w:before="0" w:after="0"/>
      </w:pPr>
    </w:p>
    <w:p>
      <w:r>
        <w:t xml:space="preserve">Sufinanciranje Specijalne Bolinice Martin Horvata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Zemljište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168.821,27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448.424,25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265,6</w:t>
            </w:r>
          </w:p>
        </w:tc>
      </w:tr>
    </w:tbl>
    <w:p>
      <w:pPr>
        <w:spacing w:before="0" w:after="0"/>
      </w:pPr>
    </w:p>
    <w:p>
      <w:r>
        <w:t xml:space="preserve">Povećani prihodi u odnosu na prethodnu godinu odnosi se na prodaju zemljšta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proizvedene dugotrajne imovine (šifre 721+722+723+724+725+726)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319,62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231.530,48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Prodana je ruševni objekt u vlasništvu grada.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nematerijalna proizvedena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11.494,35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31.193,75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271,4</w:t>
            </w:r>
          </w:p>
        </w:tc>
      </w:tr>
    </w:tbl>
    <w:p>
      <w:pPr>
        <w:spacing w:before="0" w:after="0"/>
      </w:pPr>
    </w:p>
    <w:p>
      <w:r>
        <w:t xml:space="preserve">Ulaganje u prostorno plansku dokumentaciju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1.240.000,00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Izrealizirana dva dugoročna kredita za rekonstrukciju ceste Contessa, i nastavak projekta opločenja starogradske jezgre i okolnih ulica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Medicinska i laboratorijska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8.102,50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13.200,13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162,9</w:t>
            </w:r>
          </w:p>
        </w:tc>
      </w:tr>
    </w:tbl>
    <w:p>
      <w:pPr>
        <w:spacing w:before="0" w:after="0"/>
      </w:pPr>
    </w:p>
    <w:p>
      <w:r>
        <w:t xml:space="preserve">Nabavljen je još jedan defibrilator za potrebe stanovništva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kredite od tuzemnih kreditnih institucija izvan javnog sektora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1.371.129,51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2.406.270,54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175,5</w:t>
            </w:r>
          </w:p>
        </w:tc>
      </w:tr>
    </w:tbl>
    <w:p>
      <w:pPr>
        <w:spacing w:before="0" w:after="0"/>
      </w:pPr>
    </w:p>
    <w:p>
      <w:r>
        <w:t xml:space="preserve">Obveze su uvećane za dobivene nove kredite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Vlastiti izvori (šifre 91 + 922 - 93 + 96 + 97)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44.295.396,50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45.084.309,59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101,8</w:t>
            </w:r>
          </w:p>
        </w:tc>
      </w:tr>
    </w:tbl>
    <w:p>
      <w:pPr>
        <w:spacing w:before="0" w:after="0"/>
      </w:pPr>
    </w:p>
    <w:p>
      <w:r>
        <w:t xml:space="preserve">Grad je u 2025. godini realizirao dva dugoročna kredita za rekonstrukciju strade kontesse i kameno opločenje. </w:t>
      </w:r>
    </w:p>
    <w:p>
      <w:r>
        <w:t xml:space="preserve">Manjak ostvaren u prethodnoj godini, umanjen je za iznos viška poslovanja ostvaren u 2025. godini.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139.363,71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krajem obračunskog razdoblja iznosi 3.594.351,27€ od čega je dospjelo 139.363,71€, a nedospjelo 3.454.987,56 €. Nedospjele obveze se sastoje od obveza za rashode poslovanja u iznosu od 354.085,76€, obveza za nabavu nefinancijske imovine u iznosu od 16.526,81€, obveza za kredite i zajmove u iznosu od 2.782.528,09€, te obveze za predujmove, jamčevne pologe i tuđe prihode u iznosu 223.179,40€.</w:t>
      </w:r>
      <w:r>
        <w:br/>
      </w:r>
      <w:r>
        <w:t xml:space="preserve">Dospjele obveze u iznosu od 139.363,71€ se dijelom odnose na obveze za rashode poslovanja (68.919,26€) čiji je period dospijeća od 1-60 dana. Ostale dospjele obveze u iznosu od 70.444,45€ se odnose na obveze za nabavu nefinancijske imovine čije je dospijeće dijelom u periodu od 1-60 dana, a dijelom u periodu od 61-180 dana.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Grad je imao prijavljen jedan projekt koji je još uvijek u trajanju. </w:t>
      </w:r>
    </w:p>
    <w:p>
      <w:r>
        <w:t xml:space="preserve">Projekt je EU PROJEKT INTERREG ITALY - CROATIA - ADRINCLUSIVE, ukupno ostvareni prihodi bili su u iznosu od 56.380,07€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b2380276814ce2" /></Relationships>
</file>